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372B6" w14:textId="77777777" w:rsidR="002F5A1F" w:rsidRPr="006D084C" w:rsidRDefault="00A16F52">
      <w:pPr>
        <w:tabs>
          <w:tab w:val="left" w:pos="2552"/>
        </w:tabs>
        <w:rPr>
          <w:sz w:val="10"/>
        </w:rPr>
      </w:pPr>
      <w:r w:rsidRPr="006D084C">
        <w:rPr>
          <w:sz w:val="10"/>
        </w:rPr>
        <w:t>Universitäts</w:t>
      </w:r>
      <w:r w:rsidR="00342B0D" w:rsidRPr="006D084C">
        <w:rPr>
          <w:sz w:val="10"/>
        </w:rPr>
        <w:t>m</w:t>
      </w:r>
      <w:r w:rsidRPr="006D084C">
        <w:rPr>
          <w:sz w:val="10"/>
        </w:rPr>
        <w:t>edizin</w:t>
      </w:r>
      <w:r w:rsidR="002F5A1F" w:rsidRPr="006D084C">
        <w:rPr>
          <w:sz w:val="10"/>
        </w:rPr>
        <w:t xml:space="preserve"> Rostock</w:t>
      </w:r>
      <w:r w:rsidR="002F5A1F" w:rsidRPr="006D084C">
        <w:rPr>
          <w:sz w:val="10"/>
        </w:rPr>
        <w:tab/>
      </w:r>
    </w:p>
    <w:p w14:paraId="72D372B7" w14:textId="77777777" w:rsidR="00634E34" w:rsidRDefault="00A16F52">
      <w:pPr>
        <w:tabs>
          <w:tab w:val="left" w:pos="2552"/>
        </w:tabs>
        <w:rPr>
          <w:sz w:val="10"/>
        </w:rPr>
      </w:pPr>
      <w:r w:rsidRPr="006D084C">
        <w:rPr>
          <w:sz w:val="10"/>
        </w:rPr>
        <w:t>rechtsfähige Teilkörperschaft der Universität Rostock</w:t>
      </w:r>
      <w:r w:rsidR="002F5A1F" w:rsidRPr="006D084C">
        <w:rPr>
          <w:sz w:val="10"/>
        </w:rPr>
        <w:tab/>
      </w:r>
    </w:p>
    <w:p w14:paraId="72D372B8" w14:textId="77777777" w:rsidR="002F5A1F" w:rsidRPr="006D084C" w:rsidRDefault="00634E34">
      <w:pPr>
        <w:tabs>
          <w:tab w:val="left" w:pos="2552"/>
        </w:tabs>
        <w:rPr>
          <w:sz w:val="10"/>
        </w:rPr>
      </w:pPr>
      <w:r>
        <w:rPr>
          <w:sz w:val="10"/>
        </w:rPr>
        <w:tab/>
      </w:r>
    </w:p>
    <w:p w14:paraId="72D372B9" w14:textId="77777777" w:rsidR="002F5A1F" w:rsidRPr="006D084C" w:rsidRDefault="00F06EB3">
      <w:pPr>
        <w:tabs>
          <w:tab w:val="left" w:pos="2552"/>
        </w:tabs>
        <w:rPr>
          <w:sz w:val="10"/>
        </w:rPr>
      </w:pPr>
      <w:r>
        <w:rPr>
          <w:sz w:val="10"/>
        </w:rPr>
        <w:t>Institut</w:t>
      </w:r>
      <w:r w:rsidR="002F5A1F" w:rsidRPr="006D084C">
        <w:rPr>
          <w:sz w:val="10"/>
        </w:rPr>
        <w:t xml:space="preserve"> für Transfusionsmedizin</w:t>
      </w:r>
      <w:r w:rsidR="00B46CBF">
        <w:rPr>
          <w:sz w:val="10"/>
        </w:rPr>
        <w:tab/>
      </w:r>
    </w:p>
    <w:p w14:paraId="72D372BA" w14:textId="77777777" w:rsidR="002F5A1F" w:rsidRPr="006D084C" w:rsidRDefault="002F5A1F">
      <w:pPr>
        <w:tabs>
          <w:tab w:val="left" w:pos="2552"/>
        </w:tabs>
        <w:rPr>
          <w:sz w:val="10"/>
        </w:rPr>
      </w:pPr>
      <w:r w:rsidRPr="006D084C">
        <w:rPr>
          <w:sz w:val="10"/>
        </w:rPr>
        <w:t>Postfach 10 08 88</w:t>
      </w:r>
      <w:r w:rsidR="00B46CBF">
        <w:rPr>
          <w:sz w:val="10"/>
        </w:rPr>
        <w:tab/>
      </w:r>
    </w:p>
    <w:p w14:paraId="72D372BB" w14:textId="77777777" w:rsidR="002F5A1F" w:rsidRPr="006D084C" w:rsidRDefault="00FB2B02">
      <w:pPr>
        <w:tabs>
          <w:tab w:val="left" w:pos="2552"/>
        </w:tabs>
        <w:rPr>
          <w:sz w:val="10"/>
        </w:rPr>
      </w:pPr>
      <w:r>
        <w:rPr>
          <w:sz w:val="10"/>
        </w:rPr>
        <w:t>Schillingallee 3</w:t>
      </w:r>
      <w:r w:rsidR="002F5A1F" w:rsidRPr="006D084C">
        <w:rPr>
          <w:sz w:val="10"/>
        </w:rPr>
        <w:t>6</w:t>
      </w:r>
      <w:r w:rsidR="00B46CBF">
        <w:rPr>
          <w:sz w:val="10"/>
        </w:rPr>
        <w:tab/>
      </w:r>
      <w:r w:rsidR="00B46CBF" w:rsidRPr="006D084C">
        <w:rPr>
          <w:sz w:val="10"/>
        </w:rPr>
        <w:t>Die Angaben dieser Gebrauchs</w:t>
      </w:r>
      <w:r w:rsidR="00B46CBF">
        <w:rPr>
          <w:sz w:val="10"/>
        </w:rPr>
        <w:t>information und Fachinformation</w:t>
      </w:r>
    </w:p>
    <w:p w14:paraId="72D372BC" w14:textId="77777777" w:rsidR="002F5A1F" w:rsidRPr="006D084C" w:rsidRDefault="00A16F52">
      <w:pPr>
        <w:tabs>
          <w:tab w:val="left" w:pos="2552"/>
        </w:tabs>
        <w:rPr>
          <w:sz w:val="10"/>
        </w:rPr>
      </w:pPr>
      <w:r w:rsidRPr="006D084C">
        <w:rPr>
          <w:sz w:val="10"/>
        </w:rPr>
        <w:t>18057</w:t>
      </w:r>
      <w:r w:rsidR="002F5A1F" w:rsidRPr="006D084C">
        <w:rPr>
          <w:sz w:val="10"/>
        </w:rPr>
        <w:t xml:space="preserve"> Rostock</w:t>
      </w:r>
      <w:r w:rsidR="00B46CBF">
        <w:rPr>
          <w:sz w:val="10"/>
        </w:rPr>
        <w:tab/>
      </w:r>
      <w:r w:rsidR="00B46CBF" w:rsidRPr="006D084C">
        <w:rPr>
          <w:sz w:val="10"/>
        </w:rPr>
        <w:t>werden stets neuen Erkenntnissen angepasst und sollten vor</w:t>
      </w:r>
    </w:p>
    <w:p w14:paraId="72D372BD" w14:textId="77777777" w:rsidR="00B46CBF" w:rsidRPr="006D084C" w:rsidRDefault="00671111" w:rsidP="00B46CBF">
      <w:pPr>
        <w:tabs>
          <w:tab w:val="left" w:pos="2552"/>
        </w:tabs>
        <w:rPr>
          <w:sz w:val="10"/>
        </w:rPr>
      </w:pPr>
      <w:r>
        <w:rPr>
          <w:sz w:val="10"/>
        </w:rPr>
        <w:t>Tel.: 0381/494-</w:t>
      </w:r>
      <w:r w:rsidR="002F5A1F" w:rsidRPr="006D084C">
        <w:rPr>
          <w:sz w:val="10"/>
        </w:rPr>
        <w:t>7453</w:t>
      </w:r>
      <w:r w:rsidR="00B46CBF">
        <w:rPr>
          <w:sz w:val="10"/>
        </w:rPr>
        <w:tab/>
      </w:r>
      <w:r w:rsidR="00B46CBF" w:rsidRPr="006D084C">
        <w:rPr>
          <w:sz w:val="10"/>
        </w:rPr>
        <w:t>Gebrauch eines jeden Blutbeutels beachtet</w:t>
      </w:r>
      <w:r w:rsidR="00B46CBF">
        <w:rPr>
          <w:sz w:val="10"/>
        </w:rPr>
        <w:t xml:space="preserve"> </w:t>
      </w:r>
      <w:r w:rsidR="00B46CBF" w:rsidRPr="006D084C">
        <w:rPr>
          <w:sz w:val="10"/>
        </w:rPr>
        <w:t>werden.</w:t>
      </w:r>
    </w:p>
    <w:p w14:paraId="72D372BE" w14:textId="77777777" w:rsidR="002F5A1F" w:rsidRPr="006D084C" w:rsidRDefault="002F5A1F">
      <w:pPr>
        <w:tabs>
          <w:tab w:val="left" w:pos="2552"/>
        </w:tabs>
        <w:rPr>
          <w:sz w:val="10"/>
        </w:rPr>
      </w:pPr>
    </w:p>
    <w:p w14:paraId="72D372BF" w14:textId="77777777" w:rsidR="002F5A1F" w:rsidRPr="006D084C" w:rsidRDefault="002F5A1F">
      <w:pPr>
        <w:pStyle w:val="NurText"/>
        <w:rPr>
          <w:rFonts w:ascii="Times New Roman" w:hAnsi="Times New Roman"/>
          <w:b/>
          <w:sz w:val="10"/>
        </w:rPr>
      </w:pPr>
      <w:r w:rsidRPr="006D084C">
        <w:rPr>
          <w:rFonts w:ascii="Times New Roman" w:hAnsi="Times New Roman"/>
          <w:b/>
          <w:sz w:val="10"/>
        </w:rPr>
        <w:t>Gebrauchsinformation und Fachinformation Leukozytendepletiertes Erythrozytenkonzentrat HRO/Uni</w:t>
      </w:r>
    </w:p>
    <w:p w14:paraId="72D372C0" w14:textId="77777777" w:rsidR="002F5A1F" w:rsidRPr="006D084C" w:rsidRDefault="002F5A1F">
      <w:pPr>
        <w:rPr>
          <w:sz w:val="6"/>
          <w:szCs w:val="6"/>
        </w:rPr>
      </w:pPr>
    </w:p>
    <w:p w14:paraId="72D372C1" w14:textId="77777777" w:rsidR="002F5A1F" w:rsidRPr="006D084C" w:rsidRDefault="002F5A1F">
      <w:pPr>
        <w:pStyle w:val="NurText"/>
        <w:rPr>
          <w:rFonts w:ascii="Times New Roman" w:hAnsi="Times New Roman"/>
          <w:b/>
          <w:sz w:val="10"/>
        </w:rPr>
      </w:pPr>
      <w:r w:rsidRPr="006D084C">
        <w:rPr>
          <w:rFonts w:ascii="Times New Roman" w:hAnsi="Times New Roman"/>
          <w:b/>
          <w:sz w:val="10"/>
        </w:rPr>
        <w:t>1. Identifizierung des Arzneimittels</w:t>
      </w:r>
    </w:p>
    <w:p w14:paraId="72D372C2" w14:textId="77777777" w:rsidR="002F5A1F" w:rsidRPr="006D084C" w:rsidRDefault="002F5A1F">
      <w:pPr>
        <w:pStyle w:val="NurText"/>
        <w:rPr>
          <w:rFonts w:ascii="Times New Roman" w:hAnsi="Times New Roman"/>
          <w:sz w:val="10"/>
        </w:rPr>
      </w:pPr>
      <w:r w:rsidRPr="006D084C">
        <w:rPr>
          <w:rFonts w:ascii="Times New Roman" w:hAnsi="Times New Roman"/>
          <w:sz w:val="10"/>
        </w:rPr>
        <w:t>a) Bezeichnung</w:t>
      </w:r>
    </w:p>
    <w:p w14:paraId="72D372C3" w14:textId="77777777" w:rsidR="002F5A1F" w:rsidRPr="006D084C" w:rsidRDefault="002F5A1F">
      <w:pPr>
        <w:pStyle w:val="NurText"/>
        <w:rPr>
          <w:rFonts w:ascii="Times New Roman" w:hAnsi="Times New Roman"/>
          <w:sz w:val="10"/>
        </w:rPr>
      </w:pPr>
      <w:r w:rsidRPr="006D084C">
        <w:rPr>
          <w:rFonts w:ascii="Times New Roman" w:hAnsi="Times New Roman"/>
          <w:sz w:val="10"/>
        </w:rPr>
        <w:t>Leukozytendepletiertes Erythrozytenkonzentrat HRO/Uni</w:t>
      </w:r>
    </w:p>
    <w:p w14:paraId="72D372C4" w14:textId="77777777" w:rsidR="002F5A1F" w:rsidRPr="00DD0AC4" w:rsidRDefault="002F5A1F">
      <w:pPr>
        <w:pStyle w:val="NurText"/>
        <w:rPr>
          <w:rFonts w:ascii="Times New Roman" w:hAnsi="Times New Roman"/>
          <w:sz w:val="10"/>
        </w:rPr>
      </w:pPr>
      <w:r w:rsidRPr="006D084C">
        <w:rPr>
          <w:rFonts w:ascii="Times New Roman" w:hAnsi="Times New Roman"/>
          <w:sz w:val="10"/>
        </w:rPr>
        <w:t xml:space="preserve">b) </w:t>
      </w:r>
      <w:r w:rsidRPr="00DD0AC4">
        <w:rPr>
          <w:rFonts w:ascii="Times New Roman" w:hAnsi="Times New Roman"/>
          <w:sz w:val="10"/>
        </w:rPr>
        <w:t>Stoffgruppe</w:t>
      </w:r>
    </w:p>
    <w:p w14:paraId="72D372C5" w14:textId="77777777" w:rsidR="002F5A1F" w:rsidRDefault="00DD0AC4">
      <w:pPr>
        <w:pStyle w:val="NurText"/>
        <w:rPr>
          <w:rFonts w:ascii="Times New Roman" w:hAnsi="Times New Roman"/>
          <w:sz w:val="10"/>
        </w:rPr>
      </w:pPr>
      <w:r w:rsidRPr="00DD0AC4">
        <w:rPr>
          <w:rFonts w:ascii="Times New Roman" w:hAnsi="Times New Roman"/>
          <w:sz w:val="10"/>
        </w:rPr>
        <w:t>Blutzubereitu</w:t>
      </w:r>
      <w:r w:rsidR="00815092">
        <w:rPr>
          <w:rFonts w:ascii="Times New Roman" w:hAnsi="Times New Roman"/>
          <w:sz w:val="10"/>
        </w:rPr>
        <w:t>ng, Erythrozyten zur Transfusion</w:t>
      </w:r>
    </w:p>
    <w:p w14:paraId="72D372C6" w14:textId="77777777" w:rsidR="00815092" w:rsidRPr="00815092" w:rsidRDefault="00815092">
      <w:pPr>
        <w:pStyle w:val="NurText"/>
        <w:rPr>
          <w:rFonts w:ascii="Times New Roman" w:hAnsi="Times New Roman"/>
          <w:sz w:val="10"/>
        </w:rPr>
      </w:pPr>
    </w:p>
    <w:p w14:paraId="72D372C7" w14:textId="77777777" w:rsidR="002F5A1F" w:rsidRPr="006D084C" w:rsidRDefault="002F5A1F">
      <w:pPr>
        <w:pStyle w:val="NurText"/>
        <w:rPr>
          <w:rFonts w:ascii="Times New Roman" w:hAnsi="Times New Roman"/>
          <w:b/>
          <w:sz w:val="10"/>
        </w:rPr>
      </w:pPr>
      <w:r w:rsidRPr="006D084C">
        <w:rPr>
          <w:rFonts w:ascii="Times New Roman" w:hAnsi="Times New Roman"/>
          <w:b/>
          <w:sz w:val="10"/>
        </w:rPr>
        <w:t>2. Anwendungsgebiete</w:t>
      </w:r>
    </w:p>
    <w:p w14:paraId="72D372C8" w14:textId="77777777" w:rsidR="002F5A1F" w:rsidRPr="00815092" w:rsidRDefault="002F5A1F" w:rsidP="00815092">
      <w:pPr>
        <w:pStyle w:val="NurText"/>
        <w:jc w:val="both"/>
        <w:rPr>
          <w:rFonts w:ascii="Times New Roman" w:hAnsi="Times New Roman"/>
          <w:sz w:val="10"/>
        </w:rPr>
      </w:pPr>
      <w:r w:rsidRPr="006D084C">
        <w:rPr>
          <w:rFonts w:ascii="Times New Roman" w:hAnsi="Times New Roman"/>
          <w:sz w:val="10"/>
        </w:rPr>
        <w:t xml:space="preserve">sind akute und chronische Anämien. Für die Indikation zur Erythrozytentransfusion lassen sich keine universell anwendbaren unteren Grenzwerte für Hämoglobin oder Hämatokrit festlegen. Die Ursache der Anämie soll möglichst geklärt werden und, falls möglich, eine kausale Therapie eingeleitet werden. Die Entscheidung für die Transfusion von Erythrozyten oder für eine andere, gleichwertige Therapie ist abhängig vom klinischen Gesamtzustand des Patienten. </w:t>
      </w:r>
    </w:p>
    <w:p w14:paraId="72D372C9" w14:textId="77777777" w:rsidR="00815092" w:rsidRDefault="00815092">
      <w:pPr>
        <w:pStyle w:val="NurText"/>
        <w:rPr>
          <w:rFonts w:ascii="Times New Roman" w:hAnsi="Times New Roman"/>
          <w:b/>
          <w:sz w:val="10"/>
        </w:rPr>
      </w:pPr>
    </w:p>
    <w:p w14:paraId="72D372CA" w14:textId="77777777" w:rsidR="002F5A1F" w:rsidRPr="006D084C" w:rsidRDefault="002F5A1F">
      <w:pPr>
        <w:pStyle w:val="NurText"/>
        <w:rPr>
          <w:rFonts w:ascii="Times New Roman" w:hAnsi="Times New Roman"/>
          <w:b/>
          <w:sz w:val="10"/>
        </w:rPr>
      </w:pPr>
      <w:r w:rsidRPr="006D084C">
        <w:rPr>
          <w:rFonts w:ascii="Times New Roman" w:hAnsi="Times New Roman"/>
          <w:b/>
          <w:sz w:val="10"/>
        </w:rPr>
        <w:t>3. Informationen zur Anwendung</w:t>
      </w:r>
    </w:p>
    <w:p w14:paraId="72D372CB" w14:textId="77777777" w:rsidR="002F5A1F" w:rsidRPr="006D084C" w:rsidRDefault="002F5A1F">
      <w:pPr>
        <w:pStyle w:val="NurText"/>
        <w:rPr>
          <w:rFonts w:ascii="Times New Roman" w:hAnsi="Times New Roman"/>
          <w:sz w:val="10"/>
        </w:rPr>
      </w:pPr>
      <w:r w:rsidRPr="006D084C">
        <w:rPr>
          <w:rFonts w:ascii="Times New Roman" w:hAnsi="Times New Roman"/>
          <w:sz w:val="10"/>
        </w:rPr>
        <w:t>a) Gegenanzeigen</w:t>
      </w:r>
    </w:p>
    <w:p w14:paraId="72D372CC" w14:textId="77777777" w:rsidR="002F5A1F" w:rsidRPr="006D084C" w:rsidRDefault="002C7199">
      <w:pPr>
        <w:pStyle w:val="NurText"/>
        <w:rPr>
          <w:rFonts w:ascii="Times New Roman" w:hAnsi="Times New Roman"/>
          <w:sz w:val="10"/>
        </w:rPr>
      </w:pPr>
      <w:r w:rsidRPr="006D084C">
        <w:rPr>
          <w:rFonts w:ascii="Times New Roman" w:hAnsi="Times New Roman"/>
          <w:sz w:val="10"/>
        </w:rPr>
        <w:t>Absolut:</w:t>
      </w:r>
      <w:r w:rsidR="002F5A1F" w:rsidRPr="006D084C">
        <w:rPr>
          <w:rFonts w:ascii="Times New Roman" w:hAnsi="Times New Roman"/>
          <w:sz w:val="10"/>
        </w:rPr>
        <w:t xml:space="preserve"> Kontraindikationen sind nicht bekannt. </w:t>
      </w:r>
    </w:p>
    <w:p w14:paraId="72D372CD" w14:textId="77777777" w:rsidR="002C7199" w:rsidRPr="006D084C" w:rsidRDefault="002C7199">
      <w:pPr>
        <w:pStyle w:val="NurText"/>
        <w:rPr>
          <w:rFonts w:ascii="Times New Roman" w:hAnsi="Times New Roman"/>
          <w:sz w:val="10"/>
        </w:rPr>
      </w:pPr>
      <w:r w:rsidRPr="006D084C">
        <w:rPr>
          <w:rFonts w:ascii="Times New Roman" w:hAnsi="Times New Roman"/>
          <w:sz w:val="10"/>
        </w:rPr>
        <w:t>Relativ:</w:t>
      </w:r>
    </w:p>
    <w:p w14:paraId="72D372CE" w14:textId="77777777" w:rsidR="002C7199" w:rsidRPr="006D084C" w:rsidRDefault="002C7199" w:rsidP="00E97503">
      <w:pPr>
        <w:pStyle w:val="NurText"/>
        <w:jc w:val="both"/>
        <w:rPr>
          <w:rFonts w:ascii="Times New Roman" w:hAnsi="Times New Roman"/>
          <w:sz w:val="10"/>
        </w:rPr>
      </w:pPr>
      <w:r w:rsidRPr="006D084C">
        <w:rPr>
          <w:rFonts w:ascii="Times New Roman" w:hAnsi="Times New Roman"/>
          <w:sz w:val="10"/>
        </w:rPr>
        <w:t xml:space="preserve">- </w:t>
      </w:r>
      <w:r w:rsidR="002F5A1F" w:rsidRPr="006D084C">
        <w:rPr>
          <w:rFonts w:ascii="Times New Roman" w:hAnsi="Times New Roman"/>
          <w:sz w:val="10"/>
        </w:rPr>
        <w:t xml:space="preserve">Bei potentiellen Empfängern eines Stammzelltransplantats ist die Gabe von Erythrozytenkonzentraten des Transplantatspenders und seiner Blutsverwandten vor der Transplantation unbedingt zu vermeiden. </w:t>
      </w:r>
    </w:p>
    <w:p w14:paraId="72D372CF" w14:textId="77777777" w:rsidR="002F5A1F" w:rsidRPr="00815092" w:rsidRDefault="002C7199" w:rsidP="00815092">
      <w:pPr>
        <w:pStyle w:val="NurText"/>
        <w:jc w:val="both"/>
        <w:rPr>
          <w:rFonts w:ascii="Times New Roman" w:hAnsi="Times New Roman"/>
          <w:sz w:val="10"/>
        </w:rPr>
      </w:pPr>
      <w:r w:rsidRPr="006D084C">
        <w:rPr>
          <w:rFonts w:ascii="Times New Roman" w:hAnsi="Times New Roman"/>
          <w:sz w:val="10"/>
        </w:rPr>
        <w:t xml:space="preserve">- </w:t>
      </w:r>
      <w:r w:rsidR="002F5A1F" w:rsidRPr="006D084C">
        <w:rPr>
          <w:rFonts w:ascii="Times New Roman" w:hAnsi="Times New Roman"/>
          <w:sz w:val="10"/>
        </w:rPr>
        <w:t>Bekannte Überempfindlichkeiten des Empfängers gegen nicht erythrozytäre und plasmatische Blutbestandteile sind zu beachten.</w:t>
      </w:r>
    </w:p>
    <w:p w14:paraId="72D372D0" w14:textId="77777777" w:rsidR="002F5A1F" w:rsidRPr="006D084C" w:rsidRDefault="002F5A1F">
      <w:pPr>
        <w:pStyle w:val="NurText"/>
        <w:rPr>
          <w:rFonts w:ascii="Times New Roman" w:hAnsi="Times New Roman"/>
          <w:sz w:val="10"/>
        </w:rPr>
      </w:pPr>
      <w:r w:rsidRPr="006D084C">
        <w:rPr>
          <w:rFonts w:ascii="Times New Roman" w:hAnsi="Times New Roman"/>
          <w:sz w:val="10"/>
        </w:rPr>
        <w:t xml:space="preserve">b) Vorsichtsmaßnahmen für die Anwendung </w:t>
      </w:r>
    </w:p>
    <w:p w14:paraId="72D372D1" w14:textId="77777777" w:rsidR="002F5A1F" w:rsidRPr="006D084C" w:rsidRDefault="002F5A1F" w:rsidP="00DC5065">
      <w:pPr>
        <w:pStyle w:val="NurText"/>
        <w:jc w:val="both"/>
        <w:rPr>
          <w:rFonts w:ascii="Times New Roman" w:hAnsi="Times New Roman"/>
          <w:sz w:val="10"/>
        </w:rPr>
      </w:pPr>
      <w:r w:rsidRPr="006D084C">
        <w:rPr>
          <w:rFonts w:ascii="Times New Roman" w:hAnsi="Times New Roman"/>
          <w:sz w:val="10"/>
        </w:rPr>
        <w:t>Erythrozytenkonzentrate werden AB0-gleich und sollten Rh(D)-kompatibel über ein Transfusionsgerät mit Standardfilter der Porengröße 170 bis 230 µm transfundiert werden. In zu dokumentierenden Ausnahmefällen können auch sog. "majorkompatible" Präparate transfundiert werden. Vor der Gabe von Erythrozytenkonzentraten ist eine Kreuzprobe durchzuführen.</w:t>
      </w:r>
    </w:p>
    <w:p w14:paraId="72D372D2" w14:textId="77777777" w:rsidR="002F5A1F" w:rsidRPr="006D084C" w:rsidRDefault="002F5A1F" w:rsidP="00DC5065">
      <w:pPr>
        <w:pStyle w:val="NurText"/>
        <w:jc w:val="both"/>
        <w:rPr>
          <w:rFonts w:ascii="Times New Roman" w:hAnsi="Times New Roman"/>
          <w:sz w:val="10"/>
        </w:rPr>
      </w:pPr>
      <w:r w:rsidRPr="006D084C">
        <w:rPr>
          <w:rFonts w:ascii="Times New Roman" w:hAnsi="Times New Roman"/>
          <w:sz w:val="10"/>
        </w:rPr>
        <w:t xml:space="preserve">Unmittelbar vor der Transfusion ist ein AB0-Identitätstest (Bedside-Test) am Empfängerblut vorzunehmen. </w:t>
      </w:r>
    </w:p>
    <w:p w14:paraId="72D372D3" w14:textId="77777777" w:rsidR="002F5A1F" w:rsidRPr="00815092" w:rsidRDefault="002F5A1F" w:rsidP="00815092">
      <w:pPr>
        <w:pStyle w:val="NurText"/>
        <w:jc w:val="both"/>
        <w:rPr>
          <w:rFonts w:ascii="Times New Roman" w:hAnsi="Times New Roman"/>
          <w:sz w:val="10"/>
        </w:rPr>
      </w:pPr>
      <w:r w:rsidRPr="006D084C">
        <w:rPr>
          <w:rFonts w:ascii="Times New Roman" w:hAnsi="Times New Roman"/>
          <w:sz w:val="10"/>
        </w:rPr>
        <w:t>Bei der Verabreichung sind die Zufuhrgeschwindigkeit und die Temperatur der Erythrozytenkonzentrate zu beachten. Die Transfusionsgeschwindigkeit muss dem klinischen Zustand des Patienten angepasst werden. Eine Erwärmung gekühlter Erythrozytenkonzentrate ist in der Regel nicht erforderlich, Ausnahmen sind z.</w:t>
      </w:r>
      <w:r w:rsidR="00E9712B">
        <w:rPr>
          <w:rFonts w:ascii="Times New Roman" w:hAnsi="Times New Roman"/>
          <w:sz w:val="10"/>
        </w:rPr>
        <w:t xml:space="preserve"> </w:t>
      </w:r>
      <w:r w:rsidRPr="006D084C">
        <w:rPr>
          <w:rFonts w:ascii="Times New Roman" w:hAnsi="Times New Roman"/>
          <w:sz w:val="10"/>
        </w:rPr>
        <w:t>B. Massivtransfusionen und das Vorliegen von Kälteagglutininen. Zur Bluterwärmung dürfen nur für diesen Zweck geeignete Geräte eingesetzt werden.</w:t>
      </w:r>
    </w:p>
    <w:p w14:paraId="72D372D4" w14:textId="10D5434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 xml:space="preserve">Zur Vermeidung einer </w:t>
      </w:r>
      <w:r w:rsidR="004E27CA">
        <w:rPr>
          <w:rFonts w:ascii="Times New Roman" w:hAnsi="Times New Roman"/>
          <w:sz w:val="10"/>
          <w:szCs w:val="10"/>
        </w:rPr>
        <w:t>Graft-versus-Host-Reaktion sollen</w:t>
      </w:r>
      <w:r w:rsidRPr="001E294B">
        <w:rPr>
          <w:rFonts w:ascii="Times New Roman" w:hAnsi="Times New Roman"/>
          <w:sz w:val="10"/>
          <w:szCs w:val="10"/>
        </w:rPr>
        <w:t>n folgenden, besonders gefährdeten Patienten ausschließlich mit mindestens 25 Gy bestrahlte Erythrozytenkon</w:t>
      </w:r>
      <w:r w:rsidRPr="001E294B">
        <w:rPr>
          <w:rFonts w:ascii="Times New Roman" w:hAnsi="Times New Roman"/>
          <w:sz w:val="10"/>
          <w:szCs w:val="10"/>
        </w:rPr>
        <w:softHyphen/>
        <w:t>zentrate transfundiert werden:</w:t>
      </w:r>
    </w:p>
    <w:p w14:paraId="72D372D5"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 Föten (intrauterine Transfusion)</w:t>
      </w:r>
    </w:p>
    <w:p w14:paraId="72D372D6" w14:textId="3C23E09B" w:rsidR="009E4C3D" w:rsidRPr="001E294B" w:rsidRDefault="004E27CA" w:rsidP="009E4C3D">
      <w:pPr>
        <w:pStyle w:val="NurText"/>
        <w:rPr>
          <w:rFonts w:ascii="Times New Roman" w:hAnsi="Times New Roman"/>
          <w:sz w:val="10"/>
          <w:szCs w:val="10"/>
        </w:rPr>
      </w:pPr>
      <w:r>
        <w:rPr>
          <w:rFonts w:ascii="Times New Roman" w:hAnsi="Times New Roman"/>
          <w:sz w:val="10"/>
          <w:szCs w:val="10"/>
        </w:rPr>
        <w:t>- Neu</w:t>
      </w:r>
      <w:r w:rsidR="009E4C3D" w:rsidRPr="001E294B">
        <w:rPr>
          <w:rFonts w:ascii="Times New Roman" w:hAnsi="Times New Roman"/>
          <w:sz w:val="10"/>
          <w:szCs w:val="10"/>
        </w:rPr>
        <w:t>geborenen nach intrauteriner Transfusion</w:t>
      </w:r>
    </w:p>
    <w:p w14:paraId="72D372D7"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 xml:space="preserve">- </w:t>
      </w:r>
      <w:r>
        <w:rPr>
          <w:rFonts w:ascii="Times New Roman" w:hAnsi="Times New Roman"/>
          <w:sz w:val="10"/>
          <w:szCs w:val="10"/>
        </w:rPr>
        <w:t>Patienten</w:t>
      </w:r>
      <w:r w:rsidRPr="001E294B">
        <w:rPr>
          <w:rFonts w:ascii="Times New Roman" w:hAnsi="Times New Roman"/>
          <w:sz w:val="10"/>
          <w:szCs w:val="10"/>
        </w:rPr>
        <w:t xml:space="preserve"> bei Verdacht auf</w:t>
      </w:r>
      <w:r>
        <w:rPr>
          <w:rFonts w:ascii="Times New Roman" w:hAnsi="Times New Roman"/>
          <w:sz w:val="10"/>
          <w:szCs w:val="10"/>
        </w:rPr>
        <w:t xml:space="preserve"> schwere angeborene Immundefizienz</w:t>
      </w:r>
    </w:p>
    <w:p w14:paraId="72D372D8" w14:textId="476C6A8F" w:rsidR="009E4C3D" w:rsidRDefault="009E4C3D" w:rsidP="009E4C3D">
      <w:pPr>
        <w:pStyle w:val="NurText"/>
        <w:rPr>
          <w:rFonts w:ascii="Times New Roman" w:hAnsi="Times New Roman"/>
          <w:sz w:val="10"/>
          <w:szCs w:val="10"/>
        </w:rPr>
      </w:pPr>
      <w:r w:rsidRPr="001E294B">
        <w:rPr>
          <w:rFonts w:ascii="Times New Roman" w:hAnsi="Times New Roman"/>
          <w:sz w:val="10"/>
          <w:szCs w:val="10"/>
        </w:rPr>
        <w:t>- Neugeborenen bei postpartaler Austauschtransfusion</w:t>
      </w:r>
    </w:p>
    <w:p w14:paraId="2540B808" w14:textId="267C23A6" w:rsidR="004E27CA" w:rsidRPr="001E294B" w:rsidRDefault="004E27CA" w:rsidP="009E4C3D">
      <w:pPr>
        <w:pStyle w:val="NurText"/>
        <w:rPr>
          <w:rFonts w:ascii="Times New Roman" w:hAnsi="Times New Roman"/>
          <w:sz w:val="10"/>
          <w:szCs w:val="10"/>
        </w:rPr>
      </w:pPr>
      <w:r>
        <w:rPr>
          <w:rFonts w:ascii="Times New Roman" w:hAnsi="Times New Roman"/>
          <w:sz w:val="10"/>
          <w:szCs w:val="10"/>
        </w:rPr>
        <w:t>- Patienten mit schweren T-Zell-Defektsyndromen (z. B. SCID)</w:t>
      </w:r>
    </w:p>
    <w:p w14:paraId="72D372DB" w14:textId="5E34BDD6"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 Patienten bei allogener Transplantation hämatopoetischer Stammzellen (aus peripherem Blut, Knochenmark oder Nabelschnurblut)</w:t>
      </w:r>
    </w:p>
    <w:p w14:paraId="72D372DC" w14:textId="7F23108B" w:rsidR="009E4C3D" w:rsidRPr="001E294B" w:rsidRDefault="004E27CA" w:rsidP="009E4C3D">
      <w:pPr>
        <w:pStyle w:val="NurText"/>
        <w:rPr>
          <w:rFonts w:ascii="Times New Roman" w:hAnsi="Times New Roman"/>
          <w:sz w:val="10"/>
          <w:szCs w:val="10"/>
        </w:rPr>
      </w:pPr>
      <w:r>
        <w:rPr>
          <w:rFonts w:ascii="Times New Roman" w:hAnsi="Times New Roman"/>
          <w:sz w:val="10"/>
          <w:szCs w:val="10"/>
        </w:rPr>
        <w:t>- Patienten mit M.-</w:t>
      </w:r>
      <w:r w:rsidR="009E4C3D">
        <w:rPr>
          <w:rFonts w:ascii="Times New Roman" w:hAnsi="Times New Roman"/>
          <w:sz w:val="10"/>
          <w:szCs w:val="10"/>
        </w:rPr>
        <w:t>Hodgkin</w:t>
      </w:r>
      <w:r>
        <w:rPr>
          <w:rFonts w:ascii="Times New Roman" w:hAnsi="Times New Roman"/>
          <w:sz w:val="10"/>
          <w:szCs w:val="10"/>
        </w:rPr>
        <w:t>-Lymphom</w:t>
      </w:r>
    </w:p>
    <w:p w14:paraId="72D372DD" w14:textId="55187CA5" w:rsidR="009E4C3D" w:rsidRDefault="009E4C3D" w:rsidP="009E4C3D">
      <w:pPr>
        <w:pStyle w:val="NurText"/>
        <w:rPr>
          <w:rFonts w:ascii="Times New Roman" w:hAnsi="Times New Roman"/>
          <w:sz w:val="10"/>
          <w:szCs w:val="10"/>
        </w:rPr>
      </w:pPr>
      <w:r w:rsidRPr="001E294B">
        <w:rPr>
          <w:rFonts w:ascii="Times New Roman" w:hAnsi="Times New Roman"/>
          <w:sz w:val="10"/>
          <w:szCs w:val="10"/>
        </w:rPr>
        <w:t xml:space="preserve">- </w:t>
      </w:r>
      <w:r w:rsidR="004E27CA">
        <w:rPr>
          <w:rFonts w:ascii="Times New Roman" w:hAnsi="Times New Roman"/>
          <w:sz w:val="10"/>
          <w:szCs w:val="10"/>
        </w:rPr>
        <w:t xml:space="preserve">Patienten unter Therapie mit Purinanaloga </w:t>
      </w:r>
      <w:r>
        <w:rPr>
          <w:rFonts w:ascii="Times New Roman" w:hAnsi="Times New Roman"/>
          <w:sz w:val="10"/>
          <w:szCs w:val="10"/>
        </w:rPr>
        <w:t xml:space="preserve">(z. </w:t>
      </w:r>
      <w:r w:rsidRPr="001E294B">
        <w:rPr>
          <w:rFonts w:ascii="Times New Roman" w:hAnsi="Times New Roman"/>
          <w:sz w:val="10"/>
          <w:szCs w:val="10"/>
        </w:rPr>
        <w:t>B. Fludarabin, Cladribin, Deoxycoformycin)</w:t>
      </w:r>
    </w:p>
    <w:p w14:paraId="72D372DE" w14:textId="03CA6DAC" w:rsidR="009E4C3D" w:rsidRDefault="009E4C3D" w:rsidP="009E4C3D">
      <w:pPr>
        <w:pStyle w:val="NurText"/>
        <w:rPr>
          <w:rFonts w:ascii="Times New Roman" w:hAnsi="Times New Roman"/>
          <w:sz w:val="10"/>
          <w:szCs w:val="10"/>
        </w:rPr>
      </w:pPr>
      <w:r>
        <w:rPr>
          <w:rFonts w:ascii="Times New Roman" w:hAnsi="Times New Roman"/>
          <w:sz w:val="10"/>
          <w:szCs w:val="10"/>
        </w:rPr>
        <w:t xml:space="preserve">- Patienten </w:t>
      </w:r>
      <w:r w:rsidR="004E27CA">
        <w:rPr>
          <w:rFonts w:ascii="Times New Roman" w:hAnsi="Times New Roman"/>
          <w:sz w:val="10"/>
          <w:szCs w:val="10"/>
        </w:rPr>
        <w:t>7-14 Tage</w:t>
      </w:r>
      <w:r>
        <w:rPr>
          <w:rFonts w:ascii="Times New Roman" w:hAnsi="Times New Roman"/>
          <w:sz w:val="10"/>
          <w:szCs w:val="10"/>
        </w:rPr>
        <w:t xml:space="preserve"> vor autologer Stammzellentnahme</w:t>
      </w:r>
    </w:p>
    <w:p w14:paraId="72D372DF" w14:textId="77777777" w:rsidR="009E4C3D" w:rsidRDefault="009E4C3D" w:rsidP="009E4C3D">
      <w:pPr>
        <w:pStyle w:val="NurText"/>
        <w:rPr>
          <w:rFonts w:ascii="Times New Roman" w:hAnsi="Times New Roman"/>
          <w:sz w:val="10"/>
          <w:szCs w:val="10"/>
        </w:rPr>
      </w:pPr>
      <w:r>
        <w:rPr>
          <w:rFonts w:ascii="Times New Roman" w:hAnsi="Times New Roman"/>
          <w:sz w:val="10"/>
          <w:szCs w:val="10"/>
        </w:rPr>
        <w:t>- Patienten bei autologer Stammzelltransplantation</w:t>
      </w:r>
    </w:p>
    <w:p w14:paraId="72D372E0" w14:textId="77777777" w:rsidR="009E4C3D" w:rsidRDefault="009E4C3D" w:rsidP="009E4C3D">
      <w:pPr>
        <w:pStyle w:val="NurText"/>
        <w:rPr>
          <w:rFonts w:ascii="Times New Roman" w:hAnsi="Times New Roman"/>
          <w:sz w:val="10"/>
          <w:szCs w:val="10"/>
        </w:rPr>
      </w:pPr>
      <w:r>
        <w:rPr>
          <w:rFonts w:ascii="Times New Roman" w:hAnsi="Times New Roman"/>
          <w:sz w:val="10"/>
          <w:szCs w:val="10"/>
        </w:rPr>
        <w:t>- Patienten, die ein Erythrozytenkonzentrat eines Blutsverwandten erhalten</w:t>
      </w:r>
    </w:p>
    <w:p w14:paraId="72D372E1" w14:textId="77777777" w:rsidR="009E4C3D" w:rsidRPr="001E294B" w:rsidRDefault="009E4C3D" w:rsidP="009E4C3D">
      <w:pPr>
        <w:pStyle w:val="NurText"/>
        <w:rPr>
          <w:rFonts w:ascii="Times New Roman" w:hAnsi="Times New Roman"/>
          <w:sz w:val="10"/>
          <w:szCs w:val="10"/>
        </w:rPr>
      </w:pPr>
      <w:r>
        <w:rPr>
          <w:rFonts w:ascii="Times New Roman" w:hAnsi="Times New Roman"/>
          <w:sz w:val="10"/>
          <w:szCs w:val="10"/>
        </w:rPr>
        <w:t>- hämato-onkologische Patienten unter Therapie mit Antithymozytenglobulin (ATG) oder Alemtuzumab (Anti-CD52)</w:t>
      </w:r>
    </w:p>
    <w:p w14:paraId="72D372E2"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Empfohlen wird die Verwendung von bestrahlten Erythrozytenkonzentraten für:</w:t>
      </w:r>
    </w:p>
    <w:p w14:paraId="72D372E3"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 Patienten mit schwächeren Formen angeborener Immundefizienz</w:t>
      </w:r>
    </w:p>
    <w:p w14:paraId="72D372E4"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 Patienten nach allogener Transplantation hämatopoetischer Stammzellen bis zur Immunrekonstitution bzw. mindestens 6 Monate nach der Transplantation</w:t>
      </w:r>
      <w:r>
        <w:rPr>
          <w:rFonts w:ascii="Times New Roman" w:hAnsi="Times New Roman"/>
          <w:sz w:val="10"/>
          <w:szCs w:val="10"/>
        </w:rPr>
        <w:t xml:space="preserve"> sowie Patienten bis 3 Monate nach autologer Transplantation hämatopoetischer Stammzellen (bei Ganzkörperbestrahlung 6 Monate)</w:t>
      </w:r>
    </w:p>
    <w:p w14:paraId="72D372E5"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 Patienten mit Graft-versus-Host-Reaktion</w:t>
      </w:r>
      <w:r>
        <w:rPr>
          <w:rFonts w:ascii="Times New Roman" w:hAnsi="Times New Roman"/>
          <w:sz w:val="10"/>
          <w:szCs w:val="10"/>
        </w:rPr>
        <w:t xml:space="preserve"> oder andauernder immunsuppressiver Therapie</w:t>
      </w:r>
      <w:r w:rsidRPr="001E294B">
        <w:rPr>
          <w:rFonts w:ascii="Times New Roman" w:hAnsi="Times New Roman"/>
          <w:sz w:val="10"/>
          <w:szCs w:val="10"/>
        </w:rPr>
        <w:t xml:space="preserve"> nach allogener Transplantation hämatopoetischer Stammzellen</w:t>
      </w:r>
    </w:p>
    <w:p w14:paraId="72D372E6"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Keine ausreichende Evidenz liegt vor für die Verwendung von bestrahlten Erythrozytenkonzentraten bei:</w:t>
      </w:r>
    </w:p>
    <w:p w14:paraId="72D372E7"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 Frühgeborenen (bis zur Vollendung der 37. Schwangerschaftswoche)</w:t>
      </w:r>
    </w:p>
    <w:p w14:paraId="72D372E8"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 Patienten mit AIDS, Leukämie und soliden Tumoren, inkl. Rhabdomyosarkom und Neuroblastom</w:t>
      </w:r>
    </w:p>
    <w:p w14:paraId="72D372E9" w14:textId="77777777" w:rsidR="00E1595E" w:rsidRPr="001E294B" w:rsidRDefault="00E1595E" w:rsidP="00E1595E">
      <w:pPr>
        <w:pStyle w:val="NurText"/>
        <w:rPr>
          <w:rFonts w:ascii="Times New Roman" w:hAnsi="Times New Roman"/>
          <w:sz w:val="10"/>
          <w:szCs w:val="10"/>
        </w:rPr>
      </w:pPr>
      <w:r w:rsidRPr="001E294B">
        <w:rPr>
          <w:rFonts w:ascii="Times New Roman" w:hAnsi="Times New Roman"/>
          <w:sz w:val="10"/>
          <w:szCs w:val="10"/>
        </w:rPr>
        <w:t>Neben der Leukozytendepletion des Erythrozytenkonzentrates kann eine zusätzliche Testung auf Anti-CMV-Antikörper zur Vermeidung einer CMV-Infektion in besonders gefährdeten Patientengruppen (s. u.) durchgeführt werden.</w:t>
      </w:r>
      <w:r>
        <w:rPr>
          <w:rFonts w:ascii="Times New Roman" w:hAnsi="Times New Roman"/>
          <w:sz w:val="10"/>
          <w:szCs w:val="10"/>
        </w:rPr>
        <w:t xml:space="preserve"> Nach derzeitigem Kenntnisstand ist unklar, ob die Verwendung CMV-ausgewählter Blutspenden das Risiko einer transfusionsassoziierten CMV-Infektion vermindert</w:t>
      </w:r>
      <w:r w:rsidRPr="001E294B">
        <w:rPr>
          <w:rFonts w:ascii="Times New Roman" w:hAnsi="Times New Roman"/>
          <w:sz w:val="10"/>
          <w:szCs w:val="10"/>
        </w:rPr>
        <w:t xml:space="preserve"> (s. Querschnitts-Leitlinien).</w:t>
      </w:r>
    </w:p>
    <w:p w14:paraId="72D372EA" w14:textId="097BD098"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Eine CMV-Infektion kann bei:</w:t>
      </w:r>
    </w:p>
    <w:p w14:paraId="72D372EB"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 xml:space="preserve">- Föten </w:t>
      </w:r>
    </w:p>
    <w:p w14:paraId="72D372EC"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 Frühgeborenen</w:t>
      </w:r>
    </w:p>
    <w:p w14:paraId="72D372ED" w14:textId="77777777" w:rsidR="009E4C3D" w:rsidRDefault="009E4C3D" w:rsidP="009E4C3D">
      <w:pPr>
        <w:pStyle w:val="NurText"/>
        <w:rPr>
          <w:rFonts w:ascii="Times New Roman" w:hAnsi="Times New Roman"/>
          <w:sz w:val="10"/>
          <w:szCs w:val="10"/>
        </w:rPr>
      </w:pPr>
      <w:r w:rsidRPr="001E294B">
        <w:rPr>
          <w:rFonts w:ascii="Times New Roman" w:hAnsi="Times New Roman"/>
          <w:sz w:val="10"/>
          <w:szCs w:val="10"/>
        </w:rPr>
        <w:t>- Patienten mit erworbenen</w:t>
      </w:r>
      <w:r>
        <w:rPr>
          <w:rFonts w:ascii="Times New Roman" w:hAnsi="Times New Roman"/>
          <w:sz w:val="10"/>
          <w:szCs w:val="10"/>
        </w:rPr>
        <w:t xml:space="preserve"> (AIDS)</w:t>
      </w:r>
      <w:r w:rsidRPr="001E294B">
        <w:rPr>
          <w:rFonts w:ascii="Times New Roman" w:hAnsi="Times New Roman"/>
          <w:sz w:val="10"/>
          <w:szCs w:val="10"/>
        </w:rPr>
        <w:t xml:space="preserve"> oder angeborenen Immundefekten </w:t>
      </w:r>
    </w:p>
    <w:p w14:paraId="145B3137" w14:textId="6DFE00E0" w:rsidR="004E27CA" w:rsidRDefault="009E4C3D" w:rsidP="009E4C3D">
      <w:pPr>
        <w:pStyle w:val="NurText"/>
        <w:rPr>
          <w:rFonts w:ascii="Times New Roman" w:hAnsi="Times New Roman"/>
          <w:sz w:val="10"/>
          <w:szCs w:val="10"/>
        </w:rPr>
      </w:pPr>
      <w:r>
        <w:rPr>
          <w:rFonts w:ascii="Times New Roman" w:hAnsi="Times New Roman"/>
          <w:sz w:val="10"/>
          <w:szCs w:val="10"/>
        </w:rPr>
        <w:t>- Organ- und Stammzelltransplantierten</w:t>
      </w:r>
    </w:p>
    <w:p w14:paraId="44749147" w14:textId="0B1B651F" w:rsidR="004E27CA" w:rsidRDefault="004E27CA" w:rsidP="009E4C3D">
      <w:pPr>
        <w:pStyle w:val="NurText"/>
        <w:rPr>
          <w:rFonts w:ascii="Times New Roman" w:hAnsi="Times New Roman"/>
          <w:sz w:val="10"/>
          <w:szCs w:val="10"/>
        </w:rPr>
      </w:pPr>
      <w:r>
        <w:rPr>
          <w:rFonts w:ascii="Times New Roman" w:hAnsi="Times New Roman"/>
          <w:sz w:val="10"/>
          <w:szCs w:val="10"/>
        </w:rPr>
        <w:t>zu schweren Erkrankungen führen.</w:t>
      </w:r>
    </w:p>
    <w:p w14:paraId="72D372EE" w14:textId="0766F895" w:rsidR="002F5A1F" w:rsidRPr="006D084C" w:rsidRDefault="002F5A1F" w:rsidP="009E4C3D">
      <w:pPr>
        <w:pStyle w:val="NurText"/>
        <w:rPr>
          <w:rFonts w:ascii="Times New Roman" w:hAnsi="Times New Roman"/>
          <w:sz w:val="10"/>
        </w:rPr>
      </w:pPr>
      <w:r w:rsidRPr="006D084C">
        <w:rPr>
          <w:rFonts w:ascii="Times New Roman" w:hAnsi="Times New Roman"/>
          <w:sz w:val="10"/>
        </w:rPr>
        <w:t>c) Wechselwirkungen mit anderen Arzneimitteln, soweit sie die Wirkungsweise des Arzneimittels beeinflussen können und Hauptinkompatibilitäten</w:t>
      </w:r>
    </w:p>
    <w:p w14:paraId="72D372EF" w14:textId="6F862957" w:rsidR="002F5A1F" w:rsidRPr="00815092" w:rsidRDefault="002F5A1F" w:rsidP="00815092">
      <w:pPr>
        <w:pStyle w:val="NurText"/>
        <w:jc w:val="both"/>
        <w:rPr>
          <w:rFonts w:ascii="Times New Roman" w:hAnsi="Times New Roman"/>
          <w:sz w:val="10"/>
        </w:rPr>
      </w:pPr>
      <w:r w:rsidRPr="006D084C">
        <w:rPr>
          <w:rFonts w:ascii="Times New Roman" w:hAnsi="Times New Roman"/>
          <w:sz w:val="10"/>
        </w:rPr>
        <w:t>Wechselwirkungen mit anderen Mitteln sind nicht bekannt. Wegen der Gefahr der hypotonen Lyse dürfen keine hypotonen Lösungen, wegen der Gefahr von Gerinnselbil</w:t>
      </w:r>
      <w:r w:rsidR="004E0F1C" w:rsidRPr="006D084C">
        <w:rPr>
          <w:rFonts w:ascii="Times New Roman" w:hAnsi="Times New Roman"/>
          <w:sz w:val="10"/>
        </w:rPr>
        <w:softHyphen/>
      </w:r>
      <w:r w:rsidRPr="006D084C">
        <w:rPr>
          <w:rFonts w:ascii="Times New Roman" w:hAnsi="Times New Roman"/>
          <w:sz w:val="10"/>
        </w:rPr>
        <w:t>dungen dürfen keine kalziumhaltigen Lösungen gleichzeitig in demselben Schlauchsystem gegeben werden. Die Beimischung von Medikamenten zum Erythrozytenkon</w:t>
      </w:r>
      <w:r w:rsidR="004E0F1C" w:rsidRPr="006D084C">
        <w:rPr>
          <w:rFonts w:ascii="Times New Roman" w:hAnsi="Times New Roman"/>
          <w:sz w:val="10"/>
        </w:rPr>
        <w:softHyphen/>
      </w:r>
      <w:r w:rsidRPr="006D084C">
        <w:rPr>
          <w:rFonts w:ascii="Times New Roman" w:hAnsi="Times New Roman"/>
          <w:sz w:val="10"/>
        </w:rPr>
        <w:t>zentrat ist nicht zulässig.</w:t>
      </w:r>
    </w:p>
    <w:p w14:paraId="72D372F0" w14:textId="77777777" w:rsidR="002F5A1F" w:rsidRPr="006D084C" w:rsidRDefault="002F5A1F">
      <w:pPr>
        <w:pStyle w:val="NurText"/>
        <w:rPr>
          <w:rFonts w:ascii="Times New Roman" w:hAnsi="Times New Roman"/>
          <w:sz w:val="10"/>
        </w:rPr>
      </w:pPr>
      <w:r w:rsidRPr="006D084C">
        <w:rPr>
          <w:rFonts w:ascii="Times New Roman" w:hAnsi="Times New Roman"/>
          <w:sz w:val="10"/>
        </w:rPr>
        <w:t>d) Verwendung für besondere Personengruppen</w:t>
      </w:r>
    </w:p>
    <w:p w14:paraId="72D372F1" w14:textId="2EBADBE6" w:rsidR="002F5A1F" w:rsidRPr="006D084C" w:rsidRDefault="004E27CA" w:rsidP="00DC5065">
      <w:pPr>
        <w:pStyle w:val="NurText"/>
        <w:jc w:val="both"/>
        <w:rPr>
          <w:rFonts w:ascii="Times New Roman" w:hAnsi="Times New Roman"/>
          <w:sz w:val="10"/>
        </w:rPr>
      </w:pPr>
      <w:r>
        <w:rPr>
          <w:rFonts w:ascii="Times New Roman" w:hAnsi="Times New Roman"/>
          <w:sz w:val="10"/>
          <w:u w:val="single"/>
        </w:rPr>
        <w:t>Bei Rh(D)-negativen Mädchen</w:t>
      </w:r>
      <w:r w:rsidR="002F5A1F" w:rsidRPr="006D084C">
        <w:rPr>
          <w:rFonts w:ascii="Times New Roman" w:hAnsi="Times New Roman"/>
          <w:sz w:val="10"/>
          <w:u w:val="single"/>
        </w:rPr>
        <w:t xml:space="preserve"> und Frauen im gebärfähigen Alter </w:t>
      </w:r>
      <w:r w:rsidR="002F5A1F" w:rsidRPr="006D084C">
        <w:rPr>
          <w:rFonts w:ascii="Times New Roman" w:hAnsi="Times New Roman"/>
          <w:sz w:val="10"/>
        </w:rPr>
        <w:t>ist die Transfusion von Rh(D)-positiven Erythrozytenkonzentraten mit Ausnahme von</w:t>
      </w:r>
      <w:r w:rsidR="00E9712B">
        <w:rPr>
          <w:rFonts w:ascii="Times New Roman" w:hAnsi="Times New Roman"/>
          <w:sz w:val="10"/>
        </w:rPr>
        <w:t xml:space="preserve"> lebensbedrohlichen Situationen </w:t>
      </w:r>
      <w:r w:rsidR="002F5A1F" w:rsidRPr="006D084C">
        <w:rPr>
          <w:rFonts w:ascii="Times New Roman" w:hAnsi="Times New Roman"/>
          <w:sz w:val="10"/>
        </w:rPr>
        <w:t>unbedingt zu vermeiden. Die Transfusion von Rh(D)-positiven Erythrozytenkonzentraten in Rh(D)-negative Patienten lässt sich wegen des Mangels an Rh(D)-negativem Blut nicht immer vermeiden, sollte aber nur in Betracht gezogen werden, wenn es sich um Männer oder um Frauen im nicht gebärfähigen Alter handelt. In solchen Fällen ist stets eine serologische Nachuntersuchung 2 bis 4 Monate nach Transfusion zur Feststellung eventuell gebildeter Anti-D-Antikörper durchzuführen.</w:t>
      </w:r>
    </w:p>
    <w:p w14:paraId="72D372F2" w14:textId="77777777" w:rsidR="002F5A1F" w:rsidRPr="006D084C" w:rsidRDefault="002F5A1F" w:rsidP="00DC5065">
      <w:pPr>
        <w:pStyle w:val="NurText"/>
        <w:jc w:val="both"/>
        <w:rPr>
          <w:rFonts w:ascii="Times New Roman" w:hAnsi="Times New Roman"/>
          <w:sz w:val="10"/>
        </w:rPr>
      </w:pPr>
      <w:r w:rsidRPr="006D084C">
        <w:rPr>
          <w:rFonts w:ascii="Times New Roman" w:hAnsi="Times New Roman"/>
          <w:sz w:val="10"/>
          <w:u w:val="single"/>
        </w:rPr>
        <w:t>Schwangerschaft und Stillzeit</w:t>
      </w:r>
      <w:r w:rsidRPr="006D084C">
        <w:rPr>
          <w:rFonts w:ascii="Times New Roman" w:hAnsi="Times New Roman"/>
          <w:sz w:val="10"/>
        </w:rPr>
        <w:t xml:space="preserve">: </w:t>
      </w:r>
      <w:r w:rsidR="009B52A9" w:rsidRPr="006D084C">
        <w:rPr>
          <w:rFonts w:ascii="Times New Roman" w:hAnsi="Times New Roman"/>
          <w:sz w:val="10"/>
        </w:rPr>
        <w:t>Bei bestimmungsgemäßem Gebrauch bestehen keine Einwände</w:t>
      </w:r>
      <w:r w:rsidRPr="006D084C">
        <w:rPr>
          <w:rFonts w:ascii="Times New Roman" w:hAnsi="Times New Roman"/>
          <w:sz w:val="10"/>
        </w:rPr>
        <w:t>.</w:t>
      </w:r>
    </w:p>
    <w:p w14:paraId="72D372F3" w14:textId="77777777" w:rsidR="002F5A1F" w:rsidRPr="006D084C" w:rsidRDefault="009B52A9">
      <w:pPr>
        <w:pStyle w:val="NurText"/>
        <w:rPr>
          <w:rFonts w:ascii="Times New Roman" w:hAnsi="Times New Roman"/>
          <w:sz w:val="10"/>
        </w:rPr>
      </w:pPr>
      <w:r w:rsidRPr="006D084C">
        <w:rPr>
          <w:rFonts w:ascii="Times New Roman" w:hAnsi="Times New Roman"/>
          <w:sz w:val="10"/>
          <w:u w:val="single"/>
        </w:rPr>
        <w:t xml:space="preserve">Bei Früh- und </w:t>
      </w:r>
      <w:r w:rsidR="002F5A1F" w:rsidRPr="006D084C">
        <w:rPr>
          <w:rFonts w:ascii="Times New Roman" w:hAnsi="Times New Roman"/>
          <w:sz w:val="10"/>
          <w:u w:val="single"/>
        </w:rPr>
        <w:t xml:space="preserve">Neugeborenen </w:t>
      </w:r>
      <w:r w:rsidRPr="006D084C">
        <w:rPr>
          <w:rFonts w:ascii="Times New Roman" w:hAnsi="Times New Roman"/>
          <w:sz w:val="10"/>
        </w:rPr>
        <w:t>sollten unter bestimmten Bedingunge</w:t>
      </w:r>
      <w:r w:rsidR="005B0B6B" w:rsidRPr="006D084C">
        <w:rPr>
          <w:rFonts w:ascii="Times New Roman" w:hAnsi="Times New Roman"/>
          <w:sz w:val="10"/>
        </w:rPr>
        <w:t>n (z.</w:t>
      </w:r>
      <w:r w:rsidR="00E9712B">
        <w:rPr>
          <w:rFonts w:ascii="Times New Roman" w:hAnsi="Times New Roman"/>
          <w:sz w:val="10"/>
        </w:rPr>
        <w:t xml:space="preserve"> </w:t>
      </w:r>
      <w:r w:rsidR="005B0B6B" w:rsidRPr="006D084C">
        <w:rPr>
          <w:rFonts w:ascii="Times New Roman" w:hAnsi="Times New Roman"/>
          <w:sz w:val="10"/>
        </w:rPr>
        <w:t>B. Austauschtransfusion, Ma</w:t>
      </w:r>
      <w:r w:rsidRPr="006D084C">
        <w:rPr>
          <w:rFonts w:ascii="Times New Roman" w:hAnsi="Times New Roman"/>
          <w:sz w:val="10"/>
        </w:rPr>
        <w:t>ssivtransfusion, extrakorporale Lungenunterstützung) kurz gelagerte Erythrozytenkonzentrate verwendet werden</w:t>
      </w:r>
      <w:r w:rsidR="002F5A1F" w:rsidRPr="006D084C">
        <w:rPr>
          <w:rFonts w:ascii="Times New Roman" w:hAnsi="Times New Roman"/>
          <w:sz w:val="10"/>
        </w:rPr>
        <w:t>.</w:t>
      </w:r>
    </w:p>
    <w:p w14:paraId="72D372F4" w14:textId="77777777" w:rsidR="002F5A1F" w:rsidRPr="00815092" w:rsidRDefault="002F5A1F" w:rsidP="00815092">
      <w:pPr>
        <w:pStyle w:val="NurText"/>
        <w:jc w:val="both"/>
        <w:rPr>
          <w:rFonts w:ascii="Times New Roman" w:hAnsi="Times New Roman"/>
          <w:sz w:val="10"/>
        </w:rPr>
      </w:pPr>
      <w:r w:rsidRPr="006D084C">
        <w:rPr>
          <w:rFonts w:ascii="Times New Roman" w:hAnsi="Times New Roman"/>
          <w:sz w:val="10"/>
          <w:u w:val="single"/>
        </w:rPr>
        <w:t>Auswirkung auf Kraftfahrer und die Bedienung von Maschinen</w:t>
      </w:r>
      <w:r w:rsidRPr="006D084C">
        <w:rPr>
          <w:rFonts w:ascii="Times New Roman" w:hAnsi="Times New Roman"/>
          <w:sz w:val="10"/>
        </w:rPr>
        <w:t>: Nach der Transfusion von Erythrozytenkonzentraten sollte eine Ruhepause von mindestens 1/2 Stunde eingehalten werden.</w:t>
      </w:r>
    </w:p>
    <w:p w14:paraId="72D372F5" w14:textId="77777777" w:rsidR="002F5A1F" w:rsidRPr="006D084C" w:rsidRDefault="002F5A1F">
      <w:pPr>
        <w:pStyle w:val="NurText"/>
        <w:rPr>
          <w:rFonts w:ascii="Times New Roman" w:hAnsi="Times New Roman"/>
          <w:sz w:val="10"/>
        </w:rPr>
      </w:pPr>
      <w:r w:rsidRPr="006D084C">
        <w:rPr>
          <w:rFonts w:ascii="Times New Roman" w:hAnsi="Times New Roman"/>
          <w:sz w:val="10"/>
        </w:rPr>
        <w:t>e) Warnhinweise</w:t>
      </w:r>
    </w:p>
    <w:p w14:paraId="72D372F6" w14:textId="77777777" w:rsidR="002F5A1F" w:rsidRPr="00815092" w:rsidRDefault="002F5A1F">
      <w:pPr>
        <w:pStyle w:val="NurText"/>
        <w:rPr>
          <w:rFonts w:ascii="Times New Roman" w:hAnsi="Times New Roman"/>
          <w:sz w:val="10"/>
        </w:rPr>
      </w:pPr>
      <w:r w:rsidRPr="006D084C">
        <w:rPr>
          <w:rFonts w:ascii="Times New Roman" w:hAnsi="Times New Roman"/>
          <w:sz w:val="10"/>
        </w:rPr>
        <w:t>sind nicht angeordnet.</w:t>
      </w:r>
    </w:p>
    <w:p w14:paraId="72D372F7" w14:textId="77777777" w:rsidR="00815092" w:rsidRDefault="00815092">
      <w:pPr>
        <w:pStyle w:val="NurText"/>
        <w:rPr>
          <w:rFonts w:ascii="Times New Roman" w:hAnsi="Times New Roman"/>
          <w:b/>
          <w:sz w:val="10"/>
        </w:rPr>
      </w:pPr>
    </w:p>
    <w:p w14:paraId="72D372F8" w14:textId="77777777" w:rsidR="002F5A1F" w:rsidRPr="007377EC" w:rsidRDefault="002F5A1F">
      <w:pPr>
        <w:pStyle w:val="NurText"/>
        <w:rPr>
          <w:rFonts w:ascii="Times New Roman" w:hAnsi="Times New Roman"/>
          <w:b/>
          <w:sz w:val="10"/>
        </w:rPr>
      </w:pPr>
      <w:r w:rsidRPr="007377EC">
        <w:rPr>
          <w:rFonts w:ascii="Times New Roman" w:hAnsi="Times New Roman"/>
          <w:b/>
          <w:sz w:val="10"/>
        </w:rPr>
        <w:t>4. Hinweise zur ordnungsgemäßen Anwendung</w:t>
      </w:r>
    </w:p>
    <w:p w14:paraId="72D372F9" w14:textId="77777777" w:rsidR="002F5A1F" w:rsidRPr="007377EC" w:rsidRDefault="002F5A1F">
      <w:pPr>
        <w:pStyle w:val="NurText"/>
        <w:rPr>
          <w:rFonts w:ascii="Times New Roman" w:hAnsi="Times New Roman"/>
          <w:sz w:val="10"/>
        </w:rPr>
      </w:pPr>
      <w:r w:rsidRPr="007377EC">
        <w:rPr>
          <w:rFonts w:ascii="Times New Roman" w:hAnsi="Times New Roman"/>
          <w:sz w:val="10"/>
        </w:rPr>
        <w:t>a) Dosierung</w:t>
      </w:r>
    </w:p>
    <w:p w14:paraId="72D372FA" w14:textId="77777777" w:rsidR="002F5A1F" w:rsidRPr="00815092" w:rsidRDefault="002F5A1F" w:rsidP="00815092">
      <w:pPr>
        <w:pStyle w:val="NurText"/>
        <w:jc w:val="both"/>
        <w:rPr>
          <w:rFonts w:ascii="Times New Roman" w:hAnsi="Times New Roman"/>
          <w:sz w:val="10"/>
        </w:rPr>
      </w:pPr>
      <w:r w:rsidRPr="007377EC">
        <w:rPr>
          <w:rFonts w:ascii="Times New Roman" w:hAnsi="Times New Roman"/>
          <w:sz w:val="10"/>
        </w:rPr>
        <w:t>Bei einem normalgewichtigen Erwachsenen ohne gesteigerten Erythrozytenumsatz ist nach Übertragung eines Erythrozytenkonzentrates mit einem Anstieg des Hämoglobinwertes um etwa 10 g/l (1</w:t>
      </w:r>
      <w:r w:rsidR="009E4C3D">
        <w:rPr>
          <w:rFonts w:ascii="Times New Roman" w:hAnsi="Times New Roman"/>
          <w:sz w:val="10"/>
        </w:rPr>
        <w:t xml:space="preserve"> </w:t>
      </w:r>
      <w:r w:rsidRPr="007377EC">
        <w:rPr>
          <w:rFonts w:ascii="Times New Roman" w:hAnsi="Times New Roman"/>
          <w:sz w:val="10"/>
        </w:rPr>
        <w:t>g/dl</w:t>
      </w:r>
      <w:r w:rsidR="00A75F51">
        <w:rPr>
          <w:rFonts w:ascii="Times New Roman" w:hAnsi="Times New Roman"/>
          <w:sz w:val="10"/>
        </w:rPr>
        <w:t xml:space="preserve"> bzw. 0,62</w:t>
      </w:r>
      <w:r w:rsidR="00E9712B">
        <w:rPr>
          <w:rFonts w:ascii="Times New Roman" w:hAnsi="Times New Roman"/>
          <w:sz w:val="10"/>
        </w:rPr>
        <w:t xml:space="preserve"> </w:t>
      </w:r>
      <w:r w:rsidR="00A75F51">
        <w:rPr>
          <w:rFonts w:ascii="Times New Roman" w:hAnsi="Times New Roman"/>
          <w:sz w:val="10"/>
        </w:rPr>
        <w:t>mmol/l</w:t>
      </w:r>
      <w:r w:rsidRPr="007377EC">
        <w:rPr>
          <w:rFonts w:ascii="Times New Roman" w:hAnsi="Times New Roman"/>
          <w:sz w:val="10"/>
        </w:rPr>
        <w:t>) bzw. des H</w:t>
      </w:r>
      <w:r w:rsidR="00E97503">
        <w:rPr>
          <w:rFonts w:ascii="Times New Roman" w:hAnsi="Times New Roman"/>
          <w:sz w:val="10"/>
        </w:rPr>
        <w:t>ämatokritwertes um etwa 0,03 (3</w:t>
      </w:r>
      <w:r w:rsidR="00E9712B">
        <w:rPr>
          <w:rFonts w:ascii="Times New Roman" w:hAnsi="Times New Roman"/>
          <w:sz w:val="10"/>
        </w:rPr>
        <w:t xml:space="preserve"> </w:t>
      </w:r>
      <w:r w:rsidRPr="007377EC">
        <w:rPr>
          <w:rFonts w:ascii="Times New Roman" w:hAnsi="Times New Roman"/>
          <w:sz w:val="10"/>
        </w:rPr>
        <w:t>%) zu rechnen. Bei Patienten mit Immunhämolyse ist der Hb-Anstieg entsprechend dem Schweregrad der Erkrankung reduziert. Bei akuten Anämien infolge Blutverlustes ist in Abhängigkeit von diesem zu dosieren. Hierbei ist unter Umständen eine zusätzliche, dem Einzelfall sachgerecht angepasste Volumensubstitution notwendig.</w:t>
      </w:r>
    </w:p>
    <w:p w14:paraId="72D372FB" w14:textId="77777777" w:rsidR="002F5A1F" w:rsidRPr="007377EC" w:rsidRDefault="002F5A1F">
      <w:pPr>
        <w:pStyle w:val="NurText"/>
        <w:rPr>
          <w:rFonts w:ascii="Times New Roman" w:hAnsi="Times New Roman"/>
          <w:sz w:val="10"/>
        </w:rPr>
      </w:pPr>
      <w:r w:rsidRPr="007377EC">
        <w:rPr>
          <w:rFonts w:ascii="Times New Roman" w:hAnsi="Times New Roman"/>
          <w:sz w:val="10"/>
        </w:rPr>
        <w:t>b) Art der Anwendung</w:t>
      </w:r>
    </w:p>
    <w:p w14:paraId="72D372FC" w14:textId="77777777" w:rsidR="002F5A1F" w:rsidRPr="00815092" w:rsidRDefault="002F5A1F">
      <w:pPr>
        <w:pStyle w:val="NurText"/>
        <w:rPr>
          <w:rFonts w:ascii="Times New Roman" w:hAnsi="Times New Roman"/>
          <w:sz w:val="10"/>
        </w:rPr>
      </w:pPr>
      <w:r w:rsidRPr="007377EC">
        <w:rPr>
          <w:rFonts w:ascii="Times New Roman" w:hAnsi="Times New Roman"/>
          <w:sz w:val="10"/>
        </w:rPr>
        <w:t xml:space="preserve">zur i.v. Infusion </w:t>
      </w:r>
    </w:p>
    <w:p w14:paraId="72D372FD" w14:textId="77777777" w:rsidR="002F5A1F" w:rsidRPr="007377EC" w:rsidRDefault="002F5A1F">
      <w:pPr>
        <w:pStyle w:val="NurText"/>
        <w:rPr>
          <w:rFonts w:ascii="Times New Roman" w:hAnsi="Times New Roman"/>
          <w:sz w:val="10"/>
        </w:rPr>
      </w:pPr>
      <w:r w:rsidRPr="007377EC">
        <w:rPr>
          <w:rFonts w:ascii="Times New Roman" w:hAnsi="Times New Roman"/>
          <w:sz w:val="10"/>
        </w:rPr>
        <w:t>c) Häufigkeit der Verabreichung</w:t>
      </w:r>
    </w:p>
    <w:p w14:paraId="72D372FE" w14:textId="77777777" w:rsidR="002F5A1F" w:rsidRPr="00815092" w:rsidRDefault="002F5A1F">
      <w:pPr>
        <w:pStyle w:val="NurText"/>
        <w:rPr>
          <w:rFonts w:ascii="Times New Roman" w:hAnsi="Times New Roman"/>
          <w:sz w:val="10"/>
        </w:rPr>
      </w:pPr>
      <w:r w:rsidRPr="007377EC">
        <w:rPr>
          <w:rFonts w:ascii="Times New Roman" w:hAnsi="Times New Roman"/>
          <w:sz w:val="10"/>
        </w:rPr>
        <w:t>nach Indikationsstellung</w:t>
      </w:r>
    </w:p>
    <w:p w14:paraId="72D372FF" w14:textId="77777777" w:rsidR="002F5A1F" w:rsidRPr="007377EC" w:rsidRDefault="002F5A1F">
      <w:pPr>
        <w:pStyle w:val="NurText"/>
        <w:rPr>
          <w:rFonts w:ascii="Times New Roman" w:hAnsi="Times New Roman"/>
          <w:sz w:val="10"/>
        </w:rPr>
      </w:pPr>
      <w:r w:rsidRPr="007377EC">
        <w:rPr>
          <w:rFonts w:ascii="Times New Roman" w:hAnsi="Times New Roman"/>
          <w:sz w:val="10"/>
        </w:rPr>
        <w:t>d) Dauer der Behandlung</w:t>
      </w:r>
    </w:p>
    <w:p w14:paraId="72D37300" w14:textId="77777777" w:rsidR="00DD0AC4" w:rsidRPr="00815092" w:rsidRDefault="002F5A1F">
      <w:pPr>
        <w:pStyle w:val="NurText"/>
        <w:rPr>
          <w:rFonts w:ascii="Times New Roman" w:hAnsi="Times New Roman"/>
          <w:sz w:val="10"/>
        </w:rPr>
      </w:pPr>
      <w:r w:rsidRPr="007377EC">
        <w:rPr>
          <w:rFonts w:ascii="Times New Roman" w:hAnsi="Times New Roman"/>
          <w:sz w:val="10"/>
        </w:rPr>
        <w:t xml:space="preserve">nach Indikationsstellung </w:t>
      </w:r>
    </w:p>
    <w:p w14:paraId="72D37301" w14:textId="77777777" w:rsidR="002F5A1F" w:rsidRPr="007377EC" w:rsidRDefault="002F5A1F" w:rsidP="00E97503">
      <w:pPr>
        <w:pStyle w:val="NurText"/>
        <w:rPr>
          <w:rFonts w:ascii="Times New Roman" w:hAnsi="Times New Roman"/>
          <w:sz w:val="10"/>
        </w:rPr>
      </w:pPr>
      <w:r w:rsidRPr="007377EC">
        <w:rPr>
          <w:rFonts w:ascii="Times New Roman" w:hAnsi="Times New Roman"/>
          <w:sz w:val="10"/>
        </w:rPr>
        <w:t>e) Überdosierung</w:t>
      </w:r>
    </w:p>
    <w:p w14:paraId="72D37302" w14:textId="6FEE678B" w:rsidR="002F5A1F" w:rsidRDefault="002F5A1F" w:rsidP="00E97503">
      <w:pPr>
        <w:pStyle w:val="NurText"/>
        <w:rPr>
          <w:rFonts w:ascii="Times New Roman" w:hAnsi="Times New Roman"/>
          <w:sz w:val="10"/>
        </w:rPr>
      </w:pPr>
      <w:r w:rsidRPr="007377EC">
        <w:rPr>
          <w:rFonts w:ascii="Times New Roman" w:hAnsi="Times New Roman"/>
          <w:sz w:val="10"/>
        </w:rPr>
        <w:t>Eine Hypervolämie sowie eine Polyglobulie können bei nicht sachgerechter Dosierung und Infusionsgeschwindigkeit auftreten.</w:t>
      </w:r>
    </w:p>
    <w:p w14:paraId="28072B78" w14:textId="361B6AB1" w:rsidR="004E27CA" w:rsidRDefault="004E27CA" w:rsidP="00E97503">
      <w:pPr>
        <w:pStyle w:val="NurText"/>
        <w:rPr>
          <w:rFonts w:ascii="Times New Roman" w:hAnsi="Times New Roman"/>
          <w:sz w:val="10"/>
        </w:rPr>
      </w:pPr>
    </w:p>
    <w:p w14:paraId="54D8E8CF" w14:textId="77777777" w:rsidR="004E27CA" w:rsidRPr="00815092" w:rsidRDefault="004E27CA" w:rsidP="00E97503">
      <w:pPr>
        <w:pStyle w:val="NurText"/>
        <w:rPr>
          <w:rFonts w:ascii="Times New Roman" w:hAnsi="Times New Roman"/>
          <w:sz w:val="10"/>
        </w:rPr>
      </w:pPr>
    </w:p>
    <w:p w14:paraId="72D37303" w14:textId="77777777" w:rsidR="002F5A1F" w:rsidRPr="007377EC" w:rsidRDefault="002F5A1F" w:rsidP="00E97503">
      <w:pPr>
        <w:pStyle w:val="NurText"/>
        <w:rPr>
          <w:rFonts w:ascii="Times New Roman" w:hAnsi="Times New Roman"/>
          <w:sz w:val="10"/>
        </w:rPr>
      </w:pPr>
      <w:r w:rsidRPr="007377EC">
        <w:rPr>
          <w:rFonts w:ascii="Times New Roman" w:hAnsi="Times New Roman"/>
          <w:sz w:val="10"/>
        </w:rPr>
        <w:t>f) Notfallmaßnahmen</w:t>
      </w:r>
    </w:p>
    <w:p w14:paraId="72D37305" w14:textId="082AD1B9" w:rsidR="00815092" w:rsidRPr="004E27CA" w:rsidRDefault="002F5A1F" w:rsidP="004E27CA">
      <w:pPr>
        <w:pStyle w:val="NurText"/>
        <w:jc w:val="both"/>
        <w:rPr>
          <w:rFonts w:ascii="Times New Roman" w:hAnsi="Times New Roman"/>
          <w:sz w:val="10"/>
        </w:rPr>
      </w:pPr>
      <w:r w:rsidRPr="007377EC">
        <w:rPr>
          <w:rFonts w:ascii="Times New Roman" w:hAnsi="Times New Roman"/>
          <w:sz w:val="10"/>
        </w:rPr>
        <w:t>Treten Unverträglichkeiten auf, so ist die Transfusion unverzüglich abzubrechen, der Venenzugang jedoch offen zu halten und eine Behandlung, der Schwere der Symptome gemäß, nach den aktuellen Regeln der Notfalltherapie einzuleiten.</w:t>
      </w:r>
    </w:p>
    <w:p w14:paraId="72D37307" w14:textId="6DBC67FE" w:rsidR="00815092" w:rsidRDefault="00815092" w:rsidP="00A2542C">
      <w:pPr>
        <w:pStyle w:val="NurText"/>
        <w:rPr>
          <w:rFonts w:ascii="Times New Roman" w:hAnsi="Times New Roman"/>
          <w:b/>
          <w:sz w:val="10"/>
        </w:rPr>
      </w:pPr>
    </w:p>
    <w:p w14:paraId="72D37308" w14:textId="77777777" w:rsidR="002F5A1F" w:rsidRDefault="002F5A1F" w:rsidP="00A2542C">
      <w:pPr>
        <w:pStyle w:val="NurText"/>
        <w:rPr>
          <w:rFonts w:ascii="Times New Roman" w:hAnsi="Times New Roman"/>
          <w:b/>
          <w:sz w:val="10"/>
        </w:rPr>
      </w:pPr>
      <w:r w:rsidRPr="007377EC">
        <w:rPr>
          <w:rFonts w:ascii="Times New Roman" w:hAnsi="Times New Roman"/>
          <w:b/>
          <w:sz w:val="10"/>
        </w:rPr>
        <w:t>5. Nebenwirkungen</w:t>
      </w:r>
    </w:p>
    <w:p w14:paraId="72D37309"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Hämolytische Transfusionsreaktionen können als hämolytische Sofortreaktionen während oder kurz nach der Transfusion von Erythrozytenkonzentraten auftreten. Häufigste Ursachen sind eine AB0-Inkompatibilität sowie bereits vor der Transfusion vorhandene, hämolytisch wirksame sta</w:t>
      </w:r>
      <w:r>
        <w:rPr>
          <w:sz w:val="10"/>
          <w:szCs w:val="10"/>
        </w:rPr>
        <w:t>rke (irreguläre) Alloantikörper.</w:t>
      </w:r>
    </w:p>
    <w:p w14:paraId="72D3730A"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anaphylaktische Reaktionen bei Empfängern mit angeborenem IgA-Mangel</w:t>
      </w:r>
    </w:p>
    <w:p w14:paraId="72D3730B" w14:textId="2B8973CB" w:rsidR="009E4C3D"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 xml:space="preserve">Verzögerte hämolytische Reaktionen können nach </w:t>
      </w:r>
      <w:r w:rsidR="004E27CA">
        <w:rPr>
          <w:sz w:val="10"/>
          <w:szCs w:val="10"/>
        </w:rPr>
        <w:t xml:space="preserve">Ablauf mehrerer Tage bis zu vier </w:t>
      </w:r>
      <w:r w:rsidRPr="00B73431">
        <w:rPr>
          <w:sz w:val="10"/>
          <w:szCs w:val="10"/>
        </w:rPr>
        <w:t>Wochen nach zunächst unauffälliger Erythrozytentransfusion auftreten.</w:t>
      </w:r>
    </w:p>
    <w:p w14:paraId="72D3730C" w14:textId="77777777" w:rsidR="009E4C3D"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Pr>
          <w:sz w:val="10"/>
          <w:szCs w:val="10"/>
        </w:rPr>
        <w:t>Bei Patienten mit Hämoglobinopathien kann eine hyperhämolytische Transfusionsreaktion auftreten.</w:t>
      </w:r>
    </w:p>
    <w:p w14:paraId="72D3730D"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Pr>
          <w:sz w:val="10"/>
          <w:szCs w:val="10"/>
        </w:rPr>
        <w:t>febrile, nicht-hämolytische Transfusionsreaktionen in unmittelbarem zeitlichen Zusammenhang mit der Transfusion</w:t>
      </w:r>
    </w:p>
    <w:p w14:paraId="72D3730E"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urtikarie</w:t>
      </w:r>
      <w:r>
        <w:rPr>
          <w:sz w:val="10"/>
          <w:szCs w:val="10"/>
        </w:rPr>
        <w:t>lle Hautreaktionen und andere akute allergische und anaphylaktoide</w:t>
      </w:r>
      <w:r w:rsidRPr="00B73431">
        <w:rPr>
          <w:sz w:val="10"/>
          <w:szCs w:val="10"/>
        </w:rPr>
        <w:t xml:space="preserve"> Reaktionen</w:t>
      </w:r>
    </w:p>
    <w:p w14:paraId="72D3730F"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lang w:val="it-IT"/>
        </w:rPr>
      </w:pPr>
      <w:r w:rsidRPr="00B73431">
        <w:rPr>
          <w:sz w:val="10"/>
          <w:szCs w:val="10"/>
          <w:lang w:val="it-IT"/>
        </w:rPr>
        <w:t xml:space="preserve">posttransfusionelle Purpura </w:t>
      </w:r>
    </w:p>
    <w:p w14:paraId="72D37310"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lang w:val="it-IT"/>
        </w:rPr>
      </w:pPr>
      <w:r>
        <w:rPr>
          <w:sz w:val="10"/>
          <w:szCs w:val="10"/>
          <w:lang w:val="it-IT"/>
        </w:rPr>
        <w:t>t</w:t>
      </w:r>
      <w:r w:rsidRPr="00B73431">
        <w:rPr>
          <w:sz w:val="10"/>
          <w:szCs w:val="10"/>
          <w:lang w:val="it-IT"/>
        </w:rPr>
        <w:t>ransfusionsassoziierte akute Lungeninsuffizienz (TRALI)</w:t>
      </w:r>
    </w:p>
    <w:p w14:paraId="72D37311"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right="284" w:hanging="142"/>
        <w:jc w:val="both"/>
        <w:rPr>
          <w:sz w:val="10"/>
          <w:szCs w:val="10"/>
        </w:rPr>
      </w:pPr>
      <w:r w:rsidRPr="00B73431">
        <w:rPr>
          <w:sz w:val="10"/>
          <w:szCs w:val="10"/>
        </w:rPr>
        <w:t>Eine transfusionsbedingte Hyperkaliämie kann bei Frühgeborenen, anurischen Empfängern und nach Notfall- und Massivtransfusionen vorkommen.</w:t>
      </w:r>
    </w:p>
    <w:p w14:paraId="72D37312"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Eine sekundäre Hämosiderose kann bei Langzeitsubstitution auftreten.</w:t>
      </w:r>
    </w:p>
    <w:p w14:paraId="72D37313" w14:textId="77777777" w:rsidR="009E4C3D"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Insbesondere bei hohen Transfusionsgeschwindigkeiten und Transfusionsvolumina kann es zur Volumenüberlastung des Kreislaufs (Hypervolämie, transfusionsassoziierte zirkulatorische Überladung) kommen.</w:t>
      </w:r>
    </w:p>
    <w:p w14:paraId="72D37314"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Pr>
          <w:sz w:val="10"/>
          <w:szCs w:val="10"/>
        </w:rPr>
        <w:t>Insbesondere unter der Therapie mit ACE-Hemmern kann es zu einer hypotensiven Transfuionsreaktion kommen.</w:t>
      </w:r>
    </w:p>
    <w:p w14:paraId="72D37315" w14:textId="77777777" w:rsidR="009E4C3D"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Bei Massivtransfusionen von nicht erwärmten Erythrozytenkonzentraten kann eine transfusionsinduzierte Hypothermie auftreten.</w:t>
      </w:r>
    </w:p>
    <w:p w14:paraId="72D37316"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Pr>
          <w:sz w:val="10"/>
          <w:szCs w:val="10"/>
        </w:rPr>
        <w:t>Graft-versus-Host-Reaktion bei immunsupprimierten Patienten nach Übertragung proliferationsfähiger Lymphozyten</w:t>
      </w:r>
    </w:p>
    <w:p w14:paraId="72D37317"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Das Risiko einer bakteriellen Kontamination lässt sich nicht mit letzter Sicherheit ausschließen.</w:t>
      </w:r>
    </w:p>
    <w:p w14:paraId="72D37318"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Bei der Anwendung von aus menschlichem Blut hergestellten Arzneimitteln ist die Übertragung von Infektionskrankheiten durch Übertragung von Erregern - auch bislang unbekannter Natur - nicht völlig auszuschließen.</w:t>
      </w:r>
      <w:r>
        <w:rPr>
          <w:sz w:val="10"/>
          <w:szCs w:val="10"/>
        </w:rPr>
        <w:t xml:space="preserve"> Dies gilt z. B. für Hepatitisviren</w:t>
      </w:r>
      <w:r w:rsidRPr="00B73431">
        <w:rPr>
          <w:sz w:val="10"/>
          <w:szCs w:val="10"/>
        </w:rPr>
        <w:t xml:space="preserve">, seltener für </w:t>
      </w:r>
      <w:r>
        <w:rPr>
          <w:sz w:val="10"/>
          <w:szCs w:val="10"/>
        </w:rPr>
        <w:t>HIV. Eine Übertragung von Parasiten wie z. B. Malariaerregern ist grundsätzlich möglich.</w:t>
      </w:r>
    </w:p>
    <w:p w14:paraId="72D37319" w14:textId="77777777" w:rsidR="009E4C3D" w:rsidRPr="00B73431" w:rsidRDefault="009E4C3D" w:rsidP="009E4C3D">
      <w:pPr>
        <w:pStyle w:val="Listenabsatz"/>
        <w:numPr>
          <w:ilvl w:val="0"/>
          <w:numId w:val="10"/>
        </w:numPr>
        <w:tabs>
          <w:tab w:val="left" w:pos="142"/>
          <w:tab w:val="left" w:pos="1134"/>
          <w:tab w:val="left" w:pos="2268"/>
          <w:tab w:val="left" w:pos="3402"/>
          <w:tab w:val="left" w:pos="4536"/>
          <w:tab w:val="left" w:pos="5670"/>
          <w:tab w:val="left" w:pos="6804"/>
          <w:tab w:val="left" w:pos="7938"/>
        </w:tabs>
        <w:ind w:left="142" w:hanging="142"/>
        <w:jc w:val="both"/>
        <w:rPr>
          <w:sz w:val="10"/>
          <w:szCs w:val="10"/>
        </w:rPr>
      </w:pPr>
      <w:r w:rsidRPr="00B73431">
        <w:rPr>
          <w:sz w:val="10"/>
          <w:szCs w:val="10"/>
        </w:rPr>
        <w:t>Im Vereinigten Königreich Großbritannien und Nordirland wurde über Einzelfälle berichtet, in denen bei Empfängern von Transfusionen, deren Spender später an der varianten Creutzfeldt-Jakob Krankheit (vCJK) erkrankten, ebenfalls der „Erreger“ (so genannte Prionen) nachgewiesen wurde. Bei der vCJK handelt es sich um eine in Deutschland bislang nicht beobachtete Erkrankung, die durch den Verzehr von bestimmten Nahrungsmitteln aus BSE-kranken Rindern erworben werden kann.</w:t>
      </w:r>
    </w:p>
    <w:p w14:paraId="72D3731A" w14:textId="77777777" w:rsidR="00D96D7C" w:rsidRPr="00EB0124" w:rsidRDefault="00D96D7C" w:rsidP="00D96D7C">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14:paraId="72D3731B" w14:textId="5E3CCF54" w:rsidR="009E4C3D" w:rsidRPr="00B73431" w:rsidRDefault="009E4C3D" w:rsidP="009E4C3D">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w:t>
      </w:r>
      <w:r>
        <w:rPr>
          <w:sz w:val="10"/>
          <w:szCs w:val="10"/>
        </w:rPr>
        <w:t>5 Langen, Telefon +49 610377-3116, Telefax: +49 610377-1268</w:t>
      </w:r>
      <w:r w:rsidRPr="00B73431">
        <w:rPr>
          <w:sz w:val="10"/>
          <w:szCs w:val="10"/>
        </w:rPr>
        <w:t xml:space="preserve">, Webseite: </w:t>
      </w:r>
      <w:hyperlink r:id="rId5" w:history="1">
        <w:r w:rsidRPr="00B73431">
          <w:rPr>
            <w:rStyle w:val="Hyperlink"/>
            <w:sz w:val="10"/>
            <w:szCs w:val="10"/>
          </w:rPr>
          <w:t>www.pei.de</w:t>
        </w:r>
      </w:hyperlink>
      <w:r w:rsidRPr="00B73431">
        <w:rPr>
          <w:sz w:val="10"/>
          <w:szCs w:val="10"/>
        </w:rPr>
        <w:t xml:space="preserve"> </w:t>
      </w:r>
      <w:r>
        <w:rPr>
          <w:sz w:val="10"/>
          <w:szCs w:val="10"/>
        </w:rPr>
        <w:t xml:space="preserve">bzw. </w:t>
      </w:r>
      <w:hyperlink r:id="rId6" w:history="1">
        <w:r w:rsidRPr="001A6D00">
          <w:rPr>
            <w:rStyle w:val="Hyperlink"/>
            <w:sz w:val="10"/>
            <w:szCs w:val="10"/>
          </w:rPr>
          <w:t>www.pei.de/haemovigilanz-formulare</w:t>
        </w:r>
      </w:hyperlink>
      <w:r>
        <w:rPr>
          <w:sz w:val="10"/>
          <w:szCs w:val="10"/>
        </w:rPr>
        <w:t xml:space="preserve">, E-Mail </w:t>
      </w:r>
      <w:hyperlink r:id="rId7" w:history="1">
        <w:r w:rsidR="00883E16" w:rsidRPr="00E04653">
          <w:rPr>
            <w:rStyle w:val="Hyperlink"/>
            <w:sz w:val="10"/>
            <w:szCs w:val="10"/>
          </w:rPr>
          <w:t>biovigilance@pei.de</w:t>
        </w:r>
      </w:hyperlink>
      <w:r>
        <w:rPr>
          <w:sz w:val="10"/>
          <w:szCs w:val="10"/>
        </w:rPr>
        <w:t xml:space="preserve"> </w:t>
      </w:r>
      <w:r w:rsidRPr="00B73431">
        <w:rPr>
          <w:sz w:val="10"/>
          <w:szCs w:val="10"/>
        </w:rPr>
        <w:t>anzuzeigen.</w:t>
      </w:r>
    </w:p>
    <w:p w14:paraId="72D3731C" w14:textId="77777777" w:rsidR="009E4C3D" w:rsidRPr="00B73431" w:rsidRDefault="009E4C3D" w:rsidP="009E4C3D">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14:paraId="72D3731D" w14:textId="77777777" w:rsidR="00E56A85" w:rsidRDefault="00E56A85" w:rsidP="00A2542C">
      <w:pPr>
        <w:pStyle w:val="NurText"/>
        <w:rPr>
          <w:rFonts w:ascii="Times New Roman" w:hAnsi="Times New Roman"/>
          <w:b/>
          <w:sz w:val="6"/>
          <w:szCs w:val="6"/>
        </w:rPr>
      </w:pPr>
    </w:p>
    <w:p w14:paraId="72D3731E" w14:textId="77777777" w:rsidR="002F5A1F" w:rsidRPr="002613E1" w:rsidRDefault="002F5A1F" w:rsidP="00A2542C">
      <w:pPr>
        <w:pStyle w:val="NurText"/>
        <w:rPr>
          <w:rFonts w:ascii="Times New Roman" w:hAnsi="Times New Roman"/>
          <w:b/>
          <w:sz w:val="10"/>
        </w:rPr>
      </w:pPr>
      <w:r w:rsidRPr="002613E1">
        <w:rPr>
          <w:rFonts w:ascii="Times New Roman" w:hAnsi="Times New Roman"/>
          <w:b/>
          <w:sz w:val="10"/>
        </w:rPr>
        <w:t>6. Pharmakologische Eigenschaften</w:t>
      </w:r>
    </w:p>
    <w:p w14:paraId="72D3731F" w14:textId="77777777" w:rsidR="002613E1" w:rsidRPr="002613E1" w:rsidRDefault="002613E1" w:rsidP="002613E1">
      <w:pPr>
        <w:pStyle w:val="NurText"/>
        <w:rPr>
          <w:rFonts w:ascii="Times New Roman" w:hAnsi="Times New Roman"/>
          <w:sz w:val="10"/>
        </w:rPr>
      </w:pPr>
      <w:r w:rsidRPr="002613E1">
        <w:rPr>
          <w:rFonts w:ascii="Times New Roman" w:hAnsi="Times New Roman"/>
          <w:sz w:val="10"/>
        </w:rPr>
        <w:t>Die wirksamen Bestandteile von Erythrozytenkonzentraten sind morphologisch und funktionell intakte Erythrozyten, die als Träger des Hämoglobins für die Aufnahme, den Transport und die Abgabe der Atemgase verantwortlich sind. Als Folge der Lagerung kommt es zu zunehmender Rigidität der Erythrozyten sowie zu funktionellen Veränderungen, wie der Abnahme des ATP- und 2,3</w:t>
      </w:r>
      <w:r w:rsidR="00E9712B">
        <w:rPr>
          <w:rFonts w:ascii="Times New Roman" w:hAnsi="Times New Roman"/>
          <w:sz w:val="10"/>
        </w:rPr>
        <w:t>-</w:t>
      </w:r>
      <w:r w:rsidRPr="002613E1">
        <w:rPr>
          <w:rFonts w:ascii="Times New Roman" w:hAnsi="Times New Roman"/>
          <w:sz w:val="10"/>
        </w:rPr>
        <w:t>DPG-Gehalts sowie der Freisetzung von Inhaltstoffen, wie z.</w:t>
      </w:r>
      <w:r w:rsidR="00E9712B">
        <w:rPr>
          <w:rFonts w:ascii="Times New Roman" w:hAnsi="Times New Roman"/>
          <w:sz w:val="10"/>
        </w:rPr>
        <w:t xml:space="preserve"> </w:t>
      </w:r>
      <w:r w:rsidRPr="002613E1">
        <w:rPr>
          <w:rFonts w:ascii="Times New Roman" w:hAnsi="Times New Roman"/>
          <w:sz w:val="10"/>
        </w:rPr>
        <w:t>B. Kalium, LDH und Hb. Nach Transfusion tritt im Organismus des Empfängers eine weitgehende Rekonstitution der Erythrozytenfunktion ein. Durch die Leukozytendepletion auf &lt; 1 x 10</w:t>
      </w:r>
      <w:r w:rsidRPr="002613E1">
        <w:rPr>
          <w:rFonts w:ascii="Times New Roman" w:hAnsi="Times New Roman"/>
          <w:sz w:val="10"/>
          <w:vertAlign w:val="superscript"/>
        </w:rPr>
        <w:t>6</w:t>
      </w:r>
      <w:r w:rsidRPr="002613E1">
        <w:rPr>
          <w:rFonts w:ascii="Times New Roman" w:hAnsi="Times New Roman"/>
          <w:sz w:val="10"/>
        </w:rPr>
        <w:t xml:space="preserve"> Leukozyten pro Standardpackung wird das Risiko einer Immunisierung gegen humane leukozytäre Alloantigene (HLA) stark vermindert.</w:t>
      </w:r>
    </w:p>
    <w:p w14:paraId="72D37320" w14:textId="77777777" w:rsidR="00E56A85" w:rsidRPr="002613E1" w:rsidRDefault="002613E1" w:rsidP="002613E1">
      <w:pPr>
        <w:pStyle w:val="NurText"/>
        <w:rPr>
          <w:rFonts w:ascii="Times New Roman" w:hAnsi="Times New Roman"/>
          <w:sz w:val="10"/>
        </w:rPr>
      </w:pPr>
      <w:r w:rsidRPr="002613E1">
        <w:rPr>
          <w:rFonts w:ascii="Times New Roman" w:hAnsi="Times New Roman"/>
          <w:sz w:val="10"/>
        </w:rPr>
        <w:t>Erythrozytenkonzentrate enthalten weder körpereigene Stoffe in unphysiologischer Konzentration noch körperfremde Stoffe, mit Ausnahme von Mannitol. Mannitol weist in der niedrigen Konzentration als Zusatz der Additivlösung im Erythrozytenkonzentrat keine relevanten Eigenwirkungen auf. Es ist auch für Sonderfälle der Erythrozytentransfusion wie Massivtransfusionen, bei Föten, Früh- und Neugeborenen sowie bei anurischen Patienten unbedenklich in der vorliegenden Konzentration. Es liegen keine Berichte über Mannitol-assoziierte unerwünschte Reaktionen bei der Erythrozytentransfusion vor.</w:t>
      </w:r>
    </w:p>
    <w:p w14:paraId="72D37321" w14:textId="77777777" w:rsidR="002613E1" w:rsidRDefault="002613E1" w:rsidP="002613E1">
      <w:pPr>
        <w:pStyle w:val="NurText"/>
        <w:rPr>
          <w:rFonts w:ascii="Times New Roman" w:hAnsi="Times New Roman"/>
          <w:b/>
          <w:sz w:val="6"/>
          <w:szCs w:val="6"/>
        </w:rPr>
      </w:pPr>
    </w:p>
    <w:p w14:paraId="72D37322" w14:textId="77777777" w:rsidR="002F5A1F" w:rsidRDefault="002F5A1F" w:rsidP="00A2542C">
      <w:pPr>
        <w:pStyle w:val="NurText"/>
        <w:rPr>
          <w:rFonts w:ascii="Times New Roman" w:hAnsi="Times New Roman"/>
          <w:b/>
          <w:sz w:val="10"/>
        </w:rPr>
      </w:pPr>
      <w:r w:rsidRPr="006D084C">
        <w:rPr>
          <w:rFonts w:ascii="Times New Roman" w:hAnsi="Times New Roman"/>
          <w:b/>
          <w:sz w:val="10"/>
        </w:rPr>
        <w:t>7. Weitere Hinweise</w:t>
      </w:r>
    </w:p>
    <w:tbl>
      <w:tblPr>
        <w:tblW w:w="0" w:type="auto"/>
        <w:tblLook w:val="04A0" w:firstRow="1" w:lastRow="0" w:firstColumn="1" w:lastColumn="0" w:noHBand="0" w:noVBand="1"/>
      </w:tblPr>
      <w:tblGrid>
        <w:gridCol w:w="3816"/>
        <w:gridCol w:w="3810"/>
      </w:tblGrid>
      <w:tr w:rsidR="00D96D7C" w:rsidRPr="000506CB" w14:paraId="72D3734E" w14:textId="77777777" w:rsidTr="000506CB">
        <w:tc>
          <w:tcPr>
            <w:tcW w:w="3883" w:type="dxa"/>
            <w:shd w:val="clear" w:color="auto" w:fill="auto"/>
          </w:tcPr>
          <w:p w14:paraId="72D37323"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a) Angaben zur Aufbewahrung und Haltbarkeit</w:t>
            </w:r>
          </w:p>
          <w:p w14:paraId="72D37324" w14:textId="77777777" w:rsidR="00D96D7C" w:rsidRPr="000506CB" w:rsidRDefault="00562EBB" w:rsidP="000506CB">
            <w:pPr>
              <w:pStyle w:val="NurText"/>
              <w:jc w:val="both"/>
              <w:rPr>
                <w:rFonts w:ascii="Times New Roman" w:hAnsi="Times New Roman"/>
                <w:sz w:val="10"/>
              </w:rPr>
            </w:pPr>
            <w:r>
              <w:rPr>
                <w:rFonts w:ascii="Times New Roman" w:hAnsi="Times New Roman"/>
                <w:sz w:val="10"/>
              </w:rPr>
              <w:t xml:space="preserve">- </w:t>
            </w:r>
            <w:r w:rsidR="0089540C">
              <w:rPr>
                <w:rFonts w:ascii="Times New Roman" w:hAnsi="Times New Roman"/>
                <w:sz w:val="10"/>
              </w:rPr>
              <w:t>Das Erythrozytenkonzentrat „Leukozytendepletiertes Erythrozytenkonzentrat HRO/Uni“ ist bei sachgerechter Lagerung zwischen 2</w:t>
            </w:r>
            <w:r w:rsidR="00E9712B">
              <w:rPr>
                <w:rFonts w:ascii="Times New Roman" w:hAnsi="Times New Roman"/>
                <w:sz w:val="10"/>
              </w:rPr>
              <w:t xml:space="preserve"> </w:t>
            </w:r>
            <w:r>
              <w:rPr>
                <w:rFonts w:ascii="Times New Roman" w:hAnsi="Times New Roman"/>
                <w:sz w:val="10"/>
              </w:rPr>
              <w:t>°C</w:t>
            </w:r>
            <w:r w:rsidR="0089540C">
              <w:rPr>
                <w:rFonts w:ascii="Times New Roman" w:hAnsi="Times New Roman"/>
                <w:sz w:val="10"/>
              </w:rPr>
              <w:t xml:space="preserve"> und 6</w:t>
            </w:r>
            <w:r w:rsidR="00E9712B">
              <w:rPr>
                <w:rFonts w:ascii="Times New Roman" w:hAnsi="Times New Roman"/>
                <w:sz w:val="10"/>
              </w:rPr>
              <w:t xml:space="preserve"> </w:t>
            </w:r>
            <w:r>
              <w:rPr>
                <w:rFonts w:ascii="Times New Roman" w:hAnsi="Times New Roman"/>
                <w:sz w:val="10"/>
              </w:rPr>
              <w:t>°C</w:t>
            </w:r>
            <w:r w:rsidR="00743A89">
              <w:rPr>
                <w:rFonts w:ascii="Times New Roman" w:hAnsi="Times New Roman"/>
                <w:sz w:val="10"/>
              </w:rPr>
              <w:t xml:space="preserve"> 49</w:t>
            </w:r>
            <w:r w:rsidR="0089540C">
              <w:rPr>
                <w:rFonts w:ascii="Times New Roman" w:hAnsi="Times New Roman"/>
                <w:sz w:val="10"/>
              </w:rPr>
              <w:t xml:space="preserve"> Tage bis zu dem auf dem Etikett angegebenen Datum haltbar</w:t>
            </w:r>
            <w:r w:rsidR="00D96D7C" w:rsidRPr="000506CB">
              <w:rPr>
                <w:rFonts w:ascii="Times New Roman" w:hAnsi="Times New Roman"/>
                <w:sz w:val="10"/>
              </w:rPr>
              <w:t>. Nach Ablauf des Verfalldatums darf das Erythrozytenkon</w:t>
            </w:r>
            <w:r w:rsidR="00D96D7C" w:rsidRPr="000506CB">
              <w:rPr>
                <w:rFonts w:ascii="Times New Roman" w:hAnsi="Times New Roman"/>
                <w:sz w:val="10"/>
              </w:rPr>
              <w:softHyphen/>
              <w:t>zentrat nicht mehr verwendet werden.</w:t>
            </w:r>
          </w:p>
          <w:p w14:paraId="72D37325"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xml:space="preserve">- Während des Transports darf die Kühlkette nur kurz unterbrochen werden. </w:t>
            </w:r>
          </w:p>
          <w:p w14:paraId="72D37326"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Erwärmte Erythrozytenkonzentrate dürfen nicht erneut gelagert werden.</w:t>
            </w:r>
          </w:p>
          <w:p w14:paraId="72D37327"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xml:space="preserve">- </w:t>
            </w:r>
            <w:r w:rsidR="000750D2" w:rsidRPr="000750D2">
              <w:rPr>
                <w:rFonts w:ascii="Times New Roman" w:hAnsi="Times New Roman"/>
                <w:sz w:val="10"/>
              </w:rPr>
              <w:t>Eine durch das Transfusionsbesteck geöffnete Konserve muss unverzüglich, spätestens jedoch innerhalb von 6 Stunden transfundiert werden.</w:t>
            </w:r>
          </w:p>
          <w:p w14:paraId="72D37328"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b) Optische Prüfung</w:t>
            </w:r>
          </w:p>
          <w:p w14:paraId="72D37329" w14:textId="77777777" w:rsidR="00D96D7C" w:rsidRPr="000506CB" w:rsidRDefault="00D96D7C" w:rsidP="000506CB">
            <w:pPr>
              <w:pStyle w:val="NurText"/>
              <w:jc w:val="both"/>
              <w:rPr>
                <w:rFonts w:ascii="Times New Roman" w:hAnsi="Times New Roman"/>
                <w:sz w:val="10"/>
              </w:rPr>
            </w:pPr>
            <w:r w:rsidRPr="000506CB">
              <w:rPr>
                <w:rFonts w:ascii="Times New Roman" w:hAnsi="Times New Roman"/>
                <w:sz w:val="10"/>
              </w:rPr>
              <w:t>Unmittelbar vor der Transfusion muss jedes Erythrozytenkonzentrat einer optischen Qualitätsprüfung unterzogen werden, auffällige Erythrozytenkonzentrate dürfen nicht verwendet werden.</w:t>
            </w:r>
          </w:p>
          <w:p w14:paraId="72D3732A"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c) Zusammensetzung des Fertigarzneimittels</w:t>
            </w:r>
          </w:p>
          <w:p w14:paraId="72D3732B"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Wirkstoffe (</w:t>
            </w:r>
            <w:r w:rsidR="00651119">
              <w:rPr>
                <w:rFonts w:ascii="Times New Roman" w:hAnsi="Times New Roman"/>
                <w:sz w:val="10"/>
              </w:rPr>
              <w:t>nach Art und Menge</w:t>
            </w:r>
            <w:r w:rsidRPr="000506CB">
              <w:rPr>
                <w:rFonts w:ascii="Times New Roman" w:hAnsi="Times New Roman"/>
                <w:sz w:val="10"/>
              </w:rPr>
              <w:t>)</w:t>
            </w:r>
          </w:p>
          <w:p w14:paraId="72D3732C" w14:textId="77777777" w:rsidR="00D96D7C" w:rsidRPr="000506CB" w:rsidRDefault="00D96D7C" w:rsidP="00D96D7C">
            <w:pPr>
              <w:pStyle w:val="NurText"/>
              <w:rPr>
                <w:rFonts w:ascii="Times New Roman" w:hAnsi="Times New Roman"/>
                <w:sz w:val="10"/>
                <w:u w:val="single"/>
              </w:rPr>
            </w:pPr>
            <w:r w:rsidRPr="000506CB">
              <w:rPr>
                <w:rFonts w:ascii="Times New Roman" w:hAnsi="Times New Roman"/>
                <w:sz w:val="10"/>
                <w:u w:val="single"/>
              </w:rPr>
              <w:t>arzneilich wirksame Bestandteile:</w:t>
            </w:r>
          </w:p>
          <w:p w14:paraId="72D3732D"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Human-Erythrozyten aus einer einzelnen Vollblutspende</w:t>
            </w:r>
          </w:p>
          <w:p w14:paraId="72D3732E"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xml:space="preserve">Hämatokrit 0,5 bis 0,7 </w:t>
            </w:r>
            <w:r w:rsidR="009E4C3D">
              <w:rPr>
                <w:rFonts w:ascii="Times New Roman" w:hAnsi="Times New Roman"/>
                <w:sz w:val="10"/>
              </w:rPr>
              <w:t>l/l</w:t>
            </w:r>
          </w:p>
          <w:p w14:paraId="72D3732F" w14:textId="77777777" w:rsidR="00D96D7C" w:rsidRDefault="00D96D7C" w:rsidP="00D96D7C">
            <w:pPr>
              <w:pStyle w:val="NurText"/>
              <w:rPr>
                <w:rFonts w:ascii="Times New Roman" w:hAnsi="Times New Roman"/>
                <w:sz w:val="10"/>
                <w:u w:val="single"/>
              </w:rPr>
            </w:pPr>
            <w:r w:rsidRPr="000506CB">
              <w:rPr>
                <w:rFonts w:ascii="Times New Roman" w:hAnsi="Times New Roman"/>
                <w:sz w:val="10"/>
                <w:u w:val="single"/>
              </w:rPr>
              <w:t>sonstige Bestandteile:</w:t>
            </w:r>
          </w:p>
          <w:p w14:paraId="72D37330" w14:textId="77777777" w:rsidR="00D52EA0" w:rsidRPr="00883E16" w:rsidRDefault="00D52EA0" w:rsidP="00D96D7C">
            <w:pPr>
              <w:pStyle w:val="NurText"/>
              <w:rPr>
                <w:rFonts w:ascii="Times New Roman" w:hAnsi="Times New Roman"/>
                <w:sz w:val="10"/>
                <w:lang w:val="en-US"/>
              </w:rPr>
            </w:pPr>
            <w:r w:rsidRPr="00883E16">
              <w:rPr>
                <w:rFonts w:ascii="Times New Roman" w:hAnsi="Times New Roman"/>
                <w:sz w:val="10"/>
                <w:lang w:val="en-US"/>
              </w:rPr>
              <w:t>Human-Plasma 0,05-0,10 ml</w:t>
            </w:r>
          </w:p>
          <w:p w14:paraId="72D37331" w14:textId="77777777" w:rsidR="00D96D7C" w:rsidRPr="00883E16" w:rsidRDefault="00D96D7C" w:rsidP="00A0657C">
            <w:pPr>
              <w:pStyle w:val="NurText"/>
              <w:tabs>
                <w:tab w:val="left" w:pos="1853"/>
              </w:tabs>
              <w:rPr>
                <w:rFonts w:ascii="Times New Roman" w:hAnsi="Times New Roman"/>
                <w:sz w:val="10"/>
                <w:lang w:val="en-US"/>
              </w:rPr>
            </w:pPr>
            <w:r w:rsidRPr="00883E16">
              <w:rPr>
                <w:rFonts w:ascii="Times New Roman" w:hAnsi="Times New Roman"/>
                <w:sz w:val="10"/>
                <w:lang w:val="en-US"/>
              </w:rPr>
              <w:t xml:space="preserve">Additivlösung </w:t>
            </w:r>
            <w:r w:rsidR="00CD744D" w:rsidRPr="00883E16">
              <w:rPr>
                <w:rFonts w:ascii="Times New Roman" w:hAnsi="Times New Roman"/>
                <w:sz w:val="10"/>
                <w:lang w:val="en-US"/>
              </w:rPr>
              <w:t>PAGGS-M</w:t>
            </w:r>
            <w:r w:rsidRPr="00883E16">
              <w:rPr>
                <w:rFonts w:ascii="Times New Roman" w:hAnsi="Times New Roman"/>
                <w:sz w:val="10"/>
                <w:lang w:val="en-US"/>
              </w:rPr>
              <w:t>,</w:t>
            </w:r>
            <w:r w:rsidRPr="00883E16">
              <w:rPr>
                <w:rFonts w:ascii="Times New Roman" w:hAnsi="Times New Roman"/>
                <w:sz w:val="10"/>
                <w:lang w:val="en-US"/>
              </w:rPr>
              <w:tab/>
              <w:t xml:space="preserve"> </w:t>
            </w:r>
            <w:r w:rsidR="00A0657C" w:rsidRPr="00883E16">
              <w:rPr>
                <w:rFonts w:ascii="Times New Roman" w:hAnsi="Times New Roman"/>
                <w:sz w:val="10"/>
                <w:lang w:val="en-US"/>
              </w:rPr>
              <w:t xml:space="preserve"> </w:t>
            </w:r>
            <w:r w:rsidRPr="00883E16">
              <w:rPr>
                <w:rFonts w:ascii="Times New Roman" w:hAnsi="Times New Roman"/>
                <w:sz w:val="10"/>
                <w:lang w:val="en-US"/>
              </w:rPr>
              <w:t>0,24 - 0,38 ml</w:t>
            </w:r>
          </w:p>
          <w:p w14:paraId="72D37332" w14:textId="77777777" w:rsidR="00D96D7C" w:rsidRDefault="00D96D7C" w:rsidP="00D96D7C">
            <w:pPr>
              <w:pStyle w:val="NurText"/>
              <w:rPr>
                <w:rFonts w:ascii="Times New Roman" w:hAnsi="Times New Roman"/>
                <w:sz w:val="10"/>
              </w:rPr>
            </w:pPr>
            <w:r w:rsidRPr="000506CB">
              <w:rPr>
                <w:rFonts w:ascii="Times New Roman" w:hAnsi="Times New Roman"/>
                <w:sz w:val="10"/>
              </w:rPr>
              <w:t xml:space="preserve">1000 ml </w:t>
            </w:r>
            <w:r w:rsidR="00CD744D">
              <w:rPr>
                <w:rFonts w:ascii="Times New Roman" w:hAnsi="Times New Roman"/>
                <w:sz w:val="10"/>
              </w:rPr>
              <w:t>PAGGS-M</w:t>
            </w:r>
            <w:r w:rsidR="005642E4">
              <w:rPr>
                <w:rFonts w:ascii="Times New Roman" w:hAnsi="Times New Roman"/>
                <w:sz w:val="10"/>
              </w:rPr>
              <w:t xml:space="preserve"> enthalten:</w:t>
            </w:r>
          </w:p>
          <w:p w14:paraId="72D37333" w14:textId="77777777" w:rsidR="00A0657C" w:rsidRDefault="00A0657C" w:rsidP="00A0657C">
            <w:pPr>
              <w:pStyle w:val="NurText"/>
              <w:tabs>
                <w:tab w:val="left" w:pos="1844"/>
              </w:tabs>
              <w:rPr>
                <w:rFonts w:ascii="Times New Roman" w:hAnsi="Times New Roman"/>
                <w:sz w:val="10"/>
              </w:rPr>
            </w:pPr>
            <w:r>
              <w:rPr>
                <w:rFonts w:ascii="Times New Roman" w:hAnsi="Times New Roman"/>
                <w:sz w:val="10"/>
              </w:rPr>
              <w:t>Natriumdihydrogenphosphat-Dihydrat              1,255 g</w:t>
            </w:r>
          </w:p>
          <w:p w14:paraId="72D37334" w14:textId="77777777" w:rsidR="00A0657C" w:rsidRPr="000506CB" w:rsidRDefault="00D03018" w:rsidP="00A0657C">
            <w:pPr>
              <w:pStyle w:val="NurText"/>
              <w:tabs>
                <w:tab w:val="left" w:pos="1844"/>
              </w:tabs>
              <w:rPr>
                <w:rFonts w:ascii="Times New Roman" w:hAnsi="Times New Roman"/>
                <w:sz w:val="10"/>
              </w:rPr>
            </w:pPr>
            <w:r>
              <w:rPr>
                <w:rFonts w:ascii="Times New Roman" w:hAnsi="Times New Roman"/>
                <w:sz w:val="10"/>
              </w:rPr>
              <w:t>Dinatrium</w:t>
            </w:r>
            <w:r w:rsidR="00A0657C">
              <w:rPr>
                <w:rFonts w:ascii="Times New Roman" w:hAnsi="Times New Roman"/>
                <w:sz w:val="10"/>
              </w:rPr>
              <w:t>hydrogen</w:t>
            </w:r>
            <w:r>
              <w:rPr>
                <w:rFonts w:ascii="Times New Roman" w:hAnsi="Times New Roman"/>
                <w:sz w:val="10"/>
              </w:rPr>
              <w:t xml:space="preserve">phosphat-Dihydrat              </w:t>
            </w:r>
            <w:r w:rsidR="00A0657C">
              <w:rPr>
                <w:rFonts w:ascii="Times New Roman" w:hAnsi="Times New Roman"/>
                <w:sz w:val="10"/>
              </w:rPr>
              <w:t>1,432 g</w:t>
            </w:r>
          </w:p>
          <w:p w14:paraId="72D37335" w14:textId="77777777" w:rsidR="00D96D7C" w:rsidRPr="000506CB" w:rsidRDefault="00D96D7C" w:rsidP="009E4C3D">
            <w:pPr>
              <w:pStyle w:val="NurText"/>
              <w:tabs>
                <w:tab w:val="left" w:pos="1862"/>
              </w:tabs>
              <w:rPr>
                <w:rFonts w:ascii="Times New Roman" w:hAnsi="Times New Roman"/>
                <w:b/>
                <w:sz w:val="10"/>
              </w:rPr>
            </w:pPr>
          </w:p>
        </w:tc>
        <w:tc>
          <w:tcPr>
            <w:tcW w:w="3883" w:type="dxa"/>
            <w:shd w:val="clear" w:color="auto" w:fill="auto"/>
          </w:tcPr>
          <w:p w14:paraId="72D37336" w14:textId="77777777" w:rsidR="009E4C3D" w:rsidRPr="00A0657C" w:rsidRDefault="009E4C3D" w:rsidP="009E4C3D">
            <w:pPr>
              <w:pStyle w:val="NurText"/>
              <w:rPr>
                <w:rFonts w:ascii="Times New Roman" w:hAnsi="Times New Roman"/>
                <w:sz w:val="10"/>
                <w:lang w:val="en-US"/>
              </w:rPr>
            </w:pPr>
            <w:r w:rsidRPr="00A0657C">
              <w:rPr>
                <w:rFonts w:ascii="Times New Roman" w:hAnsi="Times New Roman"/>
                <w:sz w:val="10"/>
                <w:lang w:val="en-US"/>
              </w:rPr>
              <w:t>Natriumchlorid</w:t>
            </w:r>
            <w:r w:rsidRPr="00A0657C">
              <w:rPr>
                <w:rFonts w:ascii="Times New Roman" w:hAnsi="Times New Roman"/>
                <w:sz w:val="10"/>
                <w:lang w:val="en-US"/>
              </w:rPr>
              <w:tab/>
            </w:r>
            <w:r w:rsidRPr="00A0657C">
              <w:rPr>
                <w:rFonts w:ascii="Times New Roman" w:hAnsi="Times New Roman"/>
                <w:sz w:val="10"/>
                <w:lang w:val="en-US"/>
              </w:rPr>
              <w:tab/>
              <w:t>4,21 g</w:t>
            </w:r>
          </w:p>
          <w:p w14:paraId="72D37337" w14:textId="77777777" w:rsidR="009E4C3D" w:rsidRDefault="009E4C3D" w:rsidP="009E4C3D">
            <w:pPr>
              <w:pStyle w:val="NurText"/>
              <w:rPr>
                <w:rFonts w:ascii="Times New Roman" w:hAnsi="Times New Roman"/>
                <w:sz w:val="10"/>
                <w:lang w:val="en-US"/>
              </w:rPr>
            </w:pPr>
            <w:r w:rsidRPr="00A0657C">
              <w:rPr>
                <w:rFonts w:ascii="Times New Roman" w:hAnsi="Times New Roman"/>
                <w:sz w:val="10"/>
                <w:lang w:val="en-US"/>
              </w:rPr>
              <w:t>Adenin</w:t>
            </w:r>
            <w:r w:rsidRPr="00A0657C">
              <w:rPr>
                <w:rFonts w:ascii="Times New Roman" w:hAnsi="Times New Roman"/>
                <w:sz w:val="10"/>
                <w:lang w:val="en-US"/>
              </w:rPr>
              <w:tab/>
            </w:r>
            <w:r w:rsidRPr="00A0657C">
              <w:rPr>
                <w:rFonts w:ascii="Times New Roman" w:hAnsi="Times New Roman"/>
                <w:sz w:val="10"/>
                <w:lang w:val="en-US"/>
              </w:rPr>
              <w:tab/>
              <w:t>0,194 g</w:t>
            </w:r>
          </w:p>
          <w:p w14:paraId="72D37338" w14:textId="77777777" w:rsidR="009E4C3D" w:rsidRPr="00A0657C" w:rsidRDefault="009E4C3D" w:rsidP="009E4C3D">
            <w:pPr>
              <w:pStyle w:val="NurText"/>
              <w:rPr>
                <w:rFonts w:ascii="Times New Roman" w:hAnsi="Times New Roman"/>
                <w:sz w:val="10"/>
                <w:lang w:val="en-US"/>
              </w:rPr>
            </w:pPr>
            <w:r>
              <w:rPr>
                <w:rFonts w:ascii="Times New Roman" w:hAnsi="Times New Roman"/>
                <w:sz w:val="10"/>
                <w:lang w:val="en-US"/>
              </w:rPr>
              <w:t>Guanosin                                         0,408 g</w:t>
            </w:r>
          </w:p>
          <w:p w14:paraId="72D37339" w14:textId="77777777" w:rsidR="009E4C3D" w:rsidRPr="009E4C3D" w:rsidRDefault="009E4C3D" w:rsidP="009E4C3D">
            <w:pPr>
              <w:pStyle w:val="NurText"/>
              <w:rPr>
                <w:rFonts w:ascii="Times New Roman" w:hAnsi="Times New Roman"/>
                <w:sz w:val="10"/>
              </w:rPr>
            </w:pPr>
            <w:r w:rsidRPr="009E4C3D">
              <w:rPr>
                <w:rFonts w:ascii="Times New Roman" w:hAnsi="Times New Roman"/>
                <w:sz w:val="10"/>
              </w:rPr>
              <w:t>Glucose-Monohydrat</w:t>
            </w:r>
            <w:r w:rsidRPr="009E4C3D">
              <w:rPr>
                <w:rFonts w:ascii="Times New Roman" w:hAnsi="Times New Roman"/>
                <w:sz w:val="10"/>
              </w:rPr>
              <w:tab/>
              <w:t>9,40 g</w:t>
            </w:r>
          </w:p>
          <w:p w14:paraId="72D3733A" w14:textId="77777777" w:rsidR="009E4C3D" w:rsidRPr="009E4C3D" w:rsidRDefault="009E4C3D" w:rsidP="009E4C3D">
            <w:pPr>
              <w:pStyle w:val="NurText"/>
              <w:tabs>
                <w:tab w:val="left" w:pos="1862"/>
              </w:tabs>
              <w:rPr>
                <w:rFonts w:ascii="Times New Roman" w:hAnsi="Times New Roman"/>
                <w:sz w:val="10"/>
              </w:rPr>
            </w:pPr>
            <w:r w:rsidRPr="009E4C3D">
              <w:rPr>
                <w:rFonts w:ascii="Times New Roman" w:hAnsi="Times New Roman"/>
                <w:sz w:val="10"/>
              </w:rPr>
              <w:t>Mannitol                                         10,00 g</w:t>
            </w:r>
          </w:p>
          <w:p w14:paraId="72D3733B" w14:textId="77777777" w:rsidR="009E4C3D" w:rsidRPr="000506CB" w:rsidRDefault="009E4C3D" w:rsidP="009E4C3D">
            <w:pPr>
              <w:pStyle w:val="NurText"/>
              <w:rPr>
                <w:rFonts w:ascii="Times New Roman" w:hAnsi="Times New Roman"/>
                <w:sz w:val="10"/>
              </w:rPr>
            </w:pPr>
            <w:r w:rsidRPr="000506CB">
              <w:rPr>
                <w:rFonts w:ascii="Times New Roman" w:hAnsi="Times New Roman"/>
                <w:sz w:val="10"/>
              </w:rPr>
              <w:t>CPD-Stabilisatorlösung (Ph.Eur).:</w:t>
            </w:r>
            <w:r w:rsidRPr="000506CB">
              <w:rPr>
                <w:rFonts w:ascii="Times New Roman" w:hAnsi="Times New Roman"/>
                <w:sz w:val="10"/>
              </w:rPr>
              <w:tab/>
              <w:t>0,01- 0,02 ml</w:t>
            </w:r>
          </w:p>
          <w:p w14:paraId="72D3733C" w14:textId="77777777" w:rsidR="009E4C3D" w:rsidRPr="000506CB" w:rsidRDefault="009E4C3D" w:rsidP="009E4C3D">
            <w:pPr>
              <w:pStyle w:val="NurText"/>
              <w:rPr>
                <w:rFonts w:ascii="Times New Roman" w:hAnsi="Times New Roman"/>
                <w:sz w:val="10"/>
              </w:rPr>
            </w:pPr>
            <w:r w:rsidRPr="000506CB">
              <w:rPr>
                <w:rFonts w:ascii="Times New Roman" w:hAnsi="Times New Roman"/>
                <w:sz w:val="10"/>
              </w:rPr>
              <w:t>Restzellen pro Standardpackung:</w:t>
            </w:r>
          </w:p>
          <w:p w14:paraId="72D3733D" w14:textId="77777777" w:rsidR="00D96D7C" w:rsidRPr="000506CB" w:rsidRDefault="009E4C3D" w:rsidP="009E4C3D">
            <w:pPr>
              <w:pStyle w:val="NurText"/>
              <w:rPr>
                <w:rFonts w:ascii="Times New Roman" w:hAnsi="Times New Roman"/>
                <w:sz w:val="10"/>
              </w:rPr>
            </w:pPr>
            <w:r w:rsidRPr="000506CB">
              <w:rPr>
                <w:rFonts w:ascii="Times New Roman" w:hAnsi="Times New Roman"/>
                <w:sz w:val="10"/>
              </w:rPr>
              <w:t>&lt; 1x10</w:t>
            </w:r>
            <w:r w:rsidRPr="000506CB">
              <w:rPr>
                <w:rFonts w:ascii="Times New Roman" w:hAnsi="Times New Roman"/>
                <w:sz w:val="10"/>
                <w:szCs w:val="10"/>
                <w:vertAlign w:val="superscript"/>
              </w:rPr>
              <w:t xml:space="preserve">6  </w:t>
            </w:r>
            <w:r w:rsidRPr="000506CB">
              <w:rPr>
                <w:rFonts w:ascii="Times New Roman" w:hAnsi="Times New Roman"/>
                <w:sz w:val="10"/>
                <w:szCs w:val="10"/>
              </w:rPr>
              <w:t>Leukozyten</w:t>
            </w:r>
            <w:r w:rsidRPr="000506CB">
              <w:rPr>
                <w:rFonts w:ascii="Times New Roman" w:hAnsi="Times New Roman"/>
                <w:sz w:val="10"/>
              </w:rPr>
              <w:t xml:space="preserve"> </w:t>
            </w:r>
            <w:r w:rsidR="00D96D7C" w:rsidRPr="000506CB">
              <w:rPr>
                <w:rFonts w:ascii="Times New Roman" w:hAnsi="Times New Roman"/>
                <w:sz w:val="10"/>
              </w:rPr>
              <w:t>d) Darreichungsform und Inhalt, Behältnis</w:t>
            </w:r>
          </w:p>
          <w:p w14:paraId="72D3733E"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220 bis 360 ml Suspension im Kunststoffbeutel mit CE-Zertifikat</w:t>
            </w:r>
          </w:p>
          <w:p w14:paraId="72D3733F"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xml:space="preserve">e) Angaben zum pharmazeutischen Unternehmer/Inhaber der Zulassung </w:t>
            </w:r>
          </w:p>
          <w:p w14:paraId="72D37340"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Universitätsmedizin Rostock – rechtsfähige Teilkörperschaft der Universität Rostock</w:t>
            </w:r>
          </w:p>
          <w:p w14:paraId="72D37341" w14:textId="167EB4F2" w:rsidR="00D96D7C" w:rsidRPr="000506CB" w:rsidRDefault="00883E16" w:rsidP="00D96D7C">
            <w:pPr>
              <w:pStyle w:val="NurText"/>
              <w:rPr>
                <w:rFonts w:ascii="Times New Roman" w:hAnsi="Times New Roman"/>
                <w:sz w:val="10"/>
              </w:rPr>
            </w:pPr>
            <w:r>
              <w:rPr>
                <w:rFonts w:ascii="Times New Roman" w:hAnsi="Times New Roman"/>
                <w:sz w:val="10"/>
              </w:rPr>
              <w:t>Schillingallee 35</w:t>
            </w:r>
          </w:p>
          <w:p w14:paraId="72D37342"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18057 Rostock</w:t>
            </w:r>
          </w:p>
          <w:p w14:paraId="72D37343"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xml:space="preserve">f) Angaben zum Hersteller, der das Fertigarzneimittel für das Inverkehrbringen freigegeben hat </w:t>
            </w:r>
          </w:p>
          <w:p w14:paraId="72D37344"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Institut für Transfusionsmedizin</w:t>
            </w:r>
          </w:p>
          <w:p w14:paraId="72D37345"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Universitätsmedizin Rostock – rechtsfähige Teilkörperschaft der Universität Rostock</w:t>
            </w:r>
          </w:p>
          <w:p w14:paraId="72D37346" w14:textId="77777777" w:rsidR="00D96D7C" w:rsidRPr="000506CB" w:rsidRDefault="009E4C3D" w:rsidP="00D96D7C">
            <w:pPr>
              <w:pStyle w:val="NurText"/>
              <w:rPr>
                <w:rFonts w:ascii="Times New Roman" w:hAnsi="Times New Roman"/>
                <w:sz w:val="10"/>
              </w:rPr>
            </w:pPr>
            <w:r>
              <w:rPr>
                <w:rFonts w:ascii="Times New Roman" w:hAnsi="Times New Roman"/>
                <w:sz w:val="10"/>
              </w:rPr>
              <w:t>Schillingallee 36</w:t>
            </w:r>
          </w:p>
          <w:p w14:paraId="72D37347"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 xml:space="preserve">18057 Rostock </w:t>
            </w:r>
          </w:p>
          <w:p w14:paraId="72D37348"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g) Zulassungsnummer</w:t>
            </w:r>
          </w:p>
          <w:p w14:paraId="72D37349"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PEI.H.03129.01.1</w:t>
            </w:r>
          </w:p>
          <w:p w14:paraId="72D3734A"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h) Datum der Verlängerung der Zulassung</w:t>
            </w:r>
          </w:p>
          <w:p w14:paraId="72D3734B" w14:textId="77777777" w:rsidR="00D96D7C" w:rsidRPr="000506CB" w:rsidRDefault="00111943" w:rsidP="00D96D7C">
            <w:pPr>
              <w:pStyle w:val="NurText"/>
              <w:rPr>
                <w:rFonts w:ascii="Times New Roman" w:hAnsi="Times New Roman"/>
                <w:sz w:val="10"/>
              </w:rPr>
            </w:pPr>
            <w:r>
              <w:rPr>
                <w:rFonts w:ascii="Times New Roman" w:hAnsi="Times New Roman"/>
                <w:sz w:val="10"/>
              </w:rPr>
              <w:t>1</w:t>
            </w:r>
            <w:r w:rsidR="00D96D7C" w:rsidRPr="000506CB">
              <w:rPr>
                <w:rFonts w:ascii="Times New Roman" w:hAnsi="Times New Roman"/>
                <w:sz w:val="10"/>
              </w:rPr>
              <w:t>3.07.2004</w:t>
            </w:r>
          </w:p>
          <w:p w14:paraId="72D3734C" w14:textId="77777777" w:rsidR="00D96D7C" w:rsidRPr="000506CB" w:rsidRDefault="00D96D7C" w:rsidP="00D96D7C">
            <w:pPr>
              <w:pStyle w:val="NurText"/>
              <w:rPr>
                <w:rFonts w:ascii="Times New Roman" w:hAnsi="Times New Roman"/>
                <w:sz w:val="10"/>
              </w:rPr>
            </w:pPr>
            <w:r w:rsidRPr="000506CB">
              <w:rPr>
                <w:rFonts w:ascii="Times New Roman" w:hAnsi="Times New Roman"/>
                <w:sz w:val="10"/>
              </w:rPr>
              <w:t>i) Arzneimittelstatus</w:t>
            </w:r>
          </w:p>
          <w:p w14:paraId="72D3734D" w14:textId="77777777" w:rsidR="00D96D7C" w:rsidRPr="000506CB" w:rsidRDefault="00D96D7C" w:rsidP="00D96D7C">
            <w:pPr>
              <w:pStyle w:val="NurText"/>
              <w:rPr>
                <w:rFonts w:ascii="Times New Roman" w:hAnsi="Times New Roman"/>
                <w:b/>
                <w:sz w:val="10"/>
              </w:rPr>
            </w:pPr>
            <w:r w:rsidRPr="000506CB">
              <w:rPr>
                <w:rFonts w:ascii="Times New Roman" w:hAnsi="Times New Roman"/>
                <w:sz w:val="10"/>
              </w:rPr>
              <w:t xml:space="preserve">Verschreibungspflichtig </w:t>
            </w:r>
          </w:p>
        </w:tc>
      </w:tr>
    </w:tbl>
    <w:p w14:paraId="72D3734F" w14:textId="77777777" w:rsidR="00E56A85" w:rsidRDefault="00E56A85" w:rsidP="00A2542C">
      <w:pPr>
        <w:pStyle w:val="NurText"/>
        <w:rPr>
          <w:rFonts w:ascii="Times New Roman" w:hAnsi="Times New Roman"/>
          <w:b/>
          <w:sz w:val="6"/>
          <w:szCs w:val="6"/>
        </w:rPr>
      </w:pPr>
    </w:p>
    <w:p w14:paraId="72D37350" w14:textId="77777777" w:rsidR="002F5A1F" w:rsidRPr="006D084C" w:rsidRDefault="002F5A1F" w:rsidP="00A2542C">
      <w:pPr>
        <w:pStyle w:val="NurText"/>
        <w:rPr>
          <w:rFonts w:ascii="Times New Roman" w:hAnsi="Times New Roman"/>
          <w:b/>
          <w:sz w:val="10"/>
        </w:rPr>
      </w:pPr>
      <w:r w:rsidRPr="006D084C">
        <w:rPr>
          <w:rFonts w:ascii="Times New Roman" w:hAnsi="Times New Roman"/>
          <w:b/>
          <w:sz w:val="10"/>
        </w:rPr>
        <w:t xml:space="preserve">8. Sonstige Hinweise </w:t>
      </w:r>
    </w:p>
    <w:p w14:paraId="72D37351"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 xml:space="preserve">Maßnahmen zur Reduktion des Übertragungsrisikos von Infektionserregern: </w:t>
      </w:r>
    </w:p>
    <w:p w14:paraId="72D37352" w14:textId="7FC5133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Da bei der Anwendung von aus menschlichem Blut hergestellten Arzneimitteln die Übertragung von Infektionskrankheiten nicht völlig auszuschließen ist, werden Maßnahmen getroffen, um das Risiko einer Übertragung von infektiösem Material zu minimieren: Für die Herstellung des "Leukozytendepletierten Erythrozytenkonzentrats HRO/Uni" werden ausschließlich Spenden gesunder Spender verwendet, die mit negativem Ergebnis getestet wurden auf</w:t>
      </w:r>
      <w:r w:rsidR="005E703E">
        <w:rPr>
          <w:rFonts w:ascii="Times New Roman" w:hAnsi="Times New Roman"/>
          <w:sz w:val="10"/>
          <w:szCs w:val="10"/>
        </w:rPr>
        <w:t xml:space="preserve"> die vorgeschriebenen Infektionsparameter</w:t>
      </w:r>
      <w:r w:rsidRPr="001E294B">
        <w:rPr>
          <w:rFonts w:ascii="Times New Roman" w:hAnsi="Times New Roman"/>
          <w:sz w:val="10"/>
          <w:szCs w:val="10"/>
        </w:rPr>
        <w:t xml:space="preserve"> Humanes Immundefizienz-Virus (Anti-HIV-1/2-Ak, HIV-1-Genom), Hepatitis-B-Virus (HBsAg, Anti-HBc-Ak, HBV-Genom), Hepatitis-C-Virus (Anti-HCV-Ak, HCV-Genom), Hepatitis-E-Virus (HEV-Genom)</w:t>
      </w:r>
      <w:r>
        <w:rPr>
          <w:rFonts w:ascii="Times New Roman" w:hAnsi="Times New Roman"/>
          <w:sz w:val="10"/>
          <w:szCs w:val="10"/>
        </w:rPr>
        <w:t>, West-Nil-Virus (WNV-Genom, Testung 01.06.-31.12</w:t>
      </w:r>
      <w:r w:rsidR="008129D0">
        <w:rPr>
          <w:rFonts w:ascii="Times New Roman" w:hAnsi="Times New Roman"/>
          <w:sz w:val="10"/>
          <w:szCs w:val="10"/>
        </w:rPr>
        <w:t>.</w:t>
      </w:r>
      <w:bookmarkStart w:id="0" w:name="_GoBack"/>
      <w:bookmarkEnd w:id="0"/>
      <w:r>
        <w:rPr>
          <w:rFonts w:ascii="Times New Roman" w:hAnsi="Times New Roman"/>
          <w:sz w:val="10"/>
          <w:szCs w:val="10"/>
        </w:rPr>
        <w:t>)</w:t>
      </w:r>
      <w:r w:rsidRPr="001E294B">
        <w:rPr>
          <w:rFonts w:ascii="Times New Roman" w:hAnsi="Times New Roman"/>
          <w:sz w:val="10"/>
          <w:szCs w:val="10"/>
        </w:rPr>
        <w:t xml:space="preserve"> und Treponema pallidum (Anti-Treponema-pallidum-Ak). Darüber hinaus kann durch die Leukozytendepletion das Risiko einer Übertragung von leukozytenassoziierten Viren (HTLV-I/II, CMV, EBV u. a.) und Bakterien (Yersinia enterocolitica) entscheidend vermindert werden.</w:t>
      </w:r>
    </w:p>
    <w:p w14:paraId="72D37353"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Qualitätssicherung:</w:t>
      </w:r>
    </w:p>
    <w:p w14:paraId="72D37354"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Für die Transfusion von Erythrozytenkonzentraten sind von den Einrichtungen der Krankenversorgung Maßnahmen im Rahmen der Qualitätssicherung nach § 15 des Transfusionsgesetzes zu ergreifen. Dazu gehören u. a. detaillierte Anweisungen sowohl für die Indikationsstellung, für die Auswahl der Präparate und deren Dosierung abhängig von Hämoglobinwert und dem klinischen Allgemeinzustand des Patienten bei unterschiedlichen Grunderkrankungen, Vorsorgemaßnahmen zur Erhaltung der Unversehrtheit der Konserve vor der Transfusion, die Überwachung der Anwendung und Anweisungen zur Nachuntersuchung der Patienten für die Feststellung des Transfusionserfolges, eventuell gebildeter Antikörper und zu ergreifender Prophylaxe.</w:t>
      </w:r>
    </w:p>
    <w:p w14:paraId="72D37355"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Besondere Vorsichtsmaßnahmen für die Beseitigung:</w:t>
      </w:r>
    </w:p>
    <w:p w14:paraId="72D37356" w14:textId="77777777" w:rsidR="009E4C3D" w:rsidRPr="001E294B" w:rsidRDefault="009E4C3D" w:rsidP="009E4C3D">
      <w:pPr>
        <w:pStyle w:val="NurText"/>
        <w:rPr>
          <w:rFonts w:ascii="Times New Roman" w:hAnsi="Times New Roman"/>
          <w:sz w:val="10"/>
          <w:szCs w:val="10"/>
        </w:rPr>
      </w:pPr>
      <w:r w:rsidRPr="001E294B">
        <w:rPr>
          <w:rFonts w:ascii="Times New Roman" w:hAnsi="Times New Roman"/>
          <w:sz w:val="10"/>
          <w:szCs w:val="10"/>
        </w:rPr>
        <w:t>Die ordnungsgemäße Entsorgung von angebrochenen bzw. nicht mehr verwendbaren Präparaten ist entsprechend der jeweils gültigen transfusionsmedizinischen Dienstanweisung für die Universitätsmedizin Rostock (rechtsfähige Teilkörperschaft der Universität Rostock) sicherzustellen.</w:t>
      </w:r>
    </w:p>
    <w:p w14:paraId="72D37357" w14:textId="77777777" w:rsidR="009E4C3D" w:rsidRPr="001E294B" w:rsidRDefault="009E4C3D" w:rsidP="009E4C3D">
      <w:pPr>
        <w:pStyle w:val="NurText"/>
        <w:jc w:val="both"/>
        <w:rPr>
          <w:rFonts w:ascii="Times New Roman" w:hAnsi="Times New Roman"/>
          <w:sz w:val="10"/>
          <w:szCs w:val="10"/>
        </w:rPr>
      </w:pPr>
      <w:r w:rsidRPr="001E294B">
        <w:rPr>
          <w:rFonts w:ascii="Times New Roman" w:hAnsi="Times New Roman"/>
          <w:sz w:val="10"/>
          <w:szCs w:val="10"/>
        </w:rPr>
        <w:t>Die jeweils aktuellen "Richtlinien zur Gewinnung von Blut und Blutbestandteilen und zur Anwendung von Blutprodukten (Hämotherapie)" sowie gegebenenfalls ergänzende Veröffent</w:t>
      </w:r>
      <w:r w:rsidRPr="001E294B">
        <w:rPr>
          <w:rFonts w:ascii="Times New Roman" w:hAnsi="Times New Roman"/>
          <w:sz w:val="10"/>
          <w:szCs w:val="10"/>
        </w:rPr>
        <w:softHyphen/>
        <w:t>lichungen der Bundesärztekammer und des Paul-Ehrlich-Instituts sind zu berücksichtigen.</w:t>
      </w:r>
    </w:p>
    <w:p w14:paraId="72D37358" w14:textId="77777777" w:rsidR="002F5A1F" w:rsidRPr="006D084C" w:rsidRDefault="002F5A1F" w:rsidP="0036053F">
      <w:pPr>
        <w:pStyle w:val="NurText"/>
        <w:ind w:left="142"/>
        <w:rPr>
          <w:rFonts w:ascii="Times New Roman" w:hAnsi="Times New Roman"/>
          <w:sz w:val="6"/>
          <w:szCs w:val="6"/>
        </w:rPr>
      </w:pPr>
    </w:p>
    <w:p w14:paraId="72D37359" w14:textId="77777777" w:rsidR="002F5A1F" w:rsidRPr="006D084C" w:rsidRDefault="002F5A1F" w:rsidP="00A2542C">
      <w:pPr>
        <w:pStyle w:val="NurText"/>
        <w:rPr>
          <w:rFonts w:ascii="Times New Roman" w:hAnsi="Times New Roman"/>
          <w:b/>
          <w:sz w:val="10"/>
        </w:rPr>
      </w:pPr>
      <w:r w:rsidRPr="006D084C">
        <w:rPr>
          <w:rFonts w:ascii="Times New Roman" w:hAnsi="Times New Roman"/>
          <w:b/>
          <w:sz w:val="10"/>
        </w:rPr>
        <w:t>9. Datum der letzten Überarbeitung</w:t>
      </w:r>
    </w:p>
    <w:p w14:paraId="72D3735A" w14:textId="1B073D3D" w:rsidR="002F5A1F" w:rsidRPr="006D084C" w:rsidRDefault="008129D0" w:rsidP="00A2542C">
      <w:pPr>
        <w:pStyle w:val="NurText"/>
        <w:rPr>
          <w:rFonts w:ascii="Times New Roman" w:hAnsi="Times New Roman"/>
          <w:sz w:val="10"/>
        </w:rPr>
      </w:pPr>
      <w:r>
        <w:rPr>
          <w:rFonts w:ascii="Times New Roman" w:hAnsi="Times New Roman"/>
          <w:sz w:val="10"/>
        </w:rPr>
        <w:t>29.10.2024</w:t>
      </w:r>
    </w:p>
    <w:sectPr w:rsidR="002F5A1F" w:rsidRPr="006D084C" w:rsidSect="00AD05A0">
      <w:pgSz w:w="16840" w:h="11907" w:orient="landscape" w:code="9"/>
      <w:pgMar w:top="289" w:right="340" w:bottom="312" w:left="312" w:header="720" w:footer="720" w:gutter="0"/>
      <w:cols w:num="2" w:space="9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15713"/>
    <w:multiLevelType w:val="hybridMultilevel"/>
    <w:tmpl w:val="78BAD904"/>
    <w:lvl w:ilvl="0" w:tplc="6BC28378">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15:restartNumberingAfterBreak="0">
    <w:nsid w:val="1683519A"/>
    <w:multiLevelType w:val="multilevel"/>
    <w:tmpl w:val="8FAC584C"/>
    <w:lvl w:ilvl="0">
      <w:start w:val="1"/>
      <w:numFmt w:val="bullet"/>
      <w:lvlText w:val="-"/>
      <w:lvlJc w:val="left"/>
      <w:pPr>
        <w:tabs>
          <w:tab w:val="num" w:pos="360"/>
        </w:tabs>
        <w:ind w:left="360" w:hanging="360"/>
      </w:pPr>
      <w:rPr>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6933AF"/>
    <w:multiLevelType w:val="hybridMultilevel"/>
    <w:tmpl w:val="E56846BC"/>
    <w:lvl w:ilvl="0" w:tplc="3C56F9DA">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F3F4BF1"/>
    <w:multiLevelType w:val="hybridMultilevel"/>
    <w:tmpl w:val="E4D0B5B6"/>
    <w:lvl w:ilvl="0" w:tplc="3C56F9D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44B17"/>
    <w:multiLevelType w:val="hybridMultilevel"/>
    <w:tmpl w:val="DA2C7FB4"/>
    <w:lvl w:ilvl="0" w:tplc="21529FF2">
      <w:start w:val="1"/>
      <w:numFmt w:val="bullet"/>
      <w:lvlText w:val=""/>
      <w:lvlJc w:val="left"/>
      <w:pPr>
        <w:tabs>
          <w:tab w:val="num" w:pos="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E44E13"/>
    <w:multiLevelType w:val="hybridMultilevel"/>
    <w:tmpl w:val="996E7D00"/>
    <w:lvl w:ilvl="0" w:tplc="AEB84F2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76DF3"/>
    <w:multiLevelType w:val="hybridMultilevel"/>
    <w:tmpl w:val="89E6D1F4"/>
    <w:lvl w:ilvl="0" w:tplc="3AEAAA40">
      <w:start w:val="1"/>
      <w:numFmt w:val="bullet"/>
      <w:lvlText w:val=""/>
      <w:lvlJc w:val="left"/>
      <w:pPr>
        <w:tabs>
          <w:tab w:val="num" w:pos="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sz w:val="16"/>
        </w:rPr>
      </w:lvl>
    </w:lvlOverride>
  </w:num>
  <w:num w:numId="3">
    <w:abstractNumId w:val="2"/>
  </w:num>
  <w:num w:numId="4">
    <w:abstractNumId w:val="4"/>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65"/>
    <w:rsid w:val="00004717"/>
    <w:rsid w:val="00027BC8"/>
    <w:rsid w:val="000506CB"/>
    <w:rsid w:val="000750D2"/>
    <w:rsid w:val="00104D65"/>
    <w:rsid w:val="00111943"/>
    <w:rsid w:val="00126CCA"/>
    <w:rsid w:val="001D124D"/>
    <w:rsid w:val="002220B7"/>
    <w:rsid w:val="002332F7"/>
    <w:rsid w:val="002613E1"/>
    <w:rsid w:val="002C4756"/>
    <w:rsid w:val="002C7199"/>
    <w:rsid w:val="002F1260"/>
    <w:rsid w:val="002F5A1F"/>
    <w:rsid w:val="00342B0D"/>
    <w:rsid w:val="0036053F"/>
    <w:rsid w:val="003A6E6A"/>
    <w:rsid w:val="003B5012"/>
    <w:rsid w:val="00405731"/>
    <w:rsid w:val="004D0148"/>
    <w:rsid w:val="004E0F1C"/>
    <w:rsid w:val="004E27CA"/>
    <w:rsid w:val="005046C2"/>
    <w:rsid w:val="00505A11"/>
    <w:rsid w:val="00512405"/>
    <w:rsid w:val="005503FA"/>
    <w:rsid w:val="00562EBB"/>
    <w:rsid w:val="005642E4"/>
    <w:rsid w:val="005A5873"/>
    <w:rsid w:val="005B0B6B"/>
    <w:rsid w:val="005E703E"/>
    <w:rsid w:val="005F32FC"/>
    <w:rsid w:val="00622924"/>
    <w:rsid w:val="00634E34"/>
    <w:rsid w:val="00651119"/>
    <w:rsid w:val="00671111"/>
    <w:rsid w:val="006D084C"/>
    <w:rsid w:val="007377EC"/>
    <w:rsid w:val="00743A89"/>
    <w:rsid w:val="00780178"/>
    <w:rsid w:val="007B35DC"/>
    <w:rsid w:val="007F0F70"/>
    <w:rsid w:val="008129D0"/>
    <w:rsid w:val="00815092"/>
    <w:rsid w:val="008314A6"/>
    <w:rsid w:val="00883E16"/>
    <w:rsid w:val="0089540C"/>
    <w:rsid w:val="008A570E"/>
    <w:rsid w:val="009215FB"/>
    <w:rsid w:val="009366C7"/>
    <w:rsid w:val="009B52A9"/>
    <w:rsid w:val="009D5208"/>
    <w:rsid w:val="009E4C3D"/>
    <w:rsid w:val="009F6AF0"/>
    <w:rsid w:val="00A00083"/>
    <w:rsid w:val="00A0657C"/>
    <w:rsid w:val="00A16F52"/>
    <w:rsid w:val="00A2542C"/>
    <w:rsid w:val="00A75F51"/>
    <w:rsid w:val="00AD05A0"/>
    <w:rsid w:val="00AD48EC"/>
    <w:rsid w:val="00B24E6C"/>
    <w:rsid w:val="00B43159"/>
    <w:rsid w:val="00B46CBF"/>
    <w:rsid w:val="00C25052"/>
    <w:rsid w:val="00CB5BE4"/>
    <w:rsid w:val="00CD744D"/>
    <w:rsid w:val="00D03018"/>
    <w:rsid w:val="00D2684A"/>
    <w:rsid w:val="00D32AEA"/>
    <w:rsid w:val="00D52EA0"/>
    <w:rsid w:val="00D918FF"/>
    <w:rsid w:val="00D96D7C"/>
    <w:rsid w:val="00DB17B3"/>
    <w:rsid w:val="00DC3DC9"/>
    <w:rsid w:val="00DC5065"/>
    <w:rsid w:val="00DD0AC4"/>
    <w:rsid w:val="00E1595E"/>
    <w:rsid w:val="00E56A85"/>
    <w:rsid w:val="00E921D9"/>
    <w:rsid w:val="00E9712B"/>
    <w:rsid w:val="00E97503"/>
    <w:rsid w:val="00EB423D"/>
    <w:rsid w:val="00ED01DE"/>
    <w:rsid w:val="00F06EB3"/>
    <w:rsid w:val="00FB247B"/>
    <w:rsid w:val="00FB2B02"/>
    <w:rsid w:val="00FD6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372B6"/>
  <w15:chartTrackingRefBased/>
  <w15:docId w15:val="{B9185A46-5912-4FBC-B68F-9C70A98C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sz w:val="24"/>
    </w:rPr>
  </w:style>
  <w:style w:type="paragraph" w:styleId="Textkrper">
    <w:name w:val="Body Text"/>
    <w:basedOn w:val="Standard"/>
    <w:pPr>
      <w:tabs>
        <w:tab w:val="left" w:pos="567"/>
        <w:tab w:val="left" w:pos="1134"/>
        <w:tab w:val="left" w:pos="2268"/>
        <w:tab w:val="left" w:pos="3402"/>
        <w:tab w:val="left" w:pos="4536"/>
        <w:tab w:val="left" w:pos="5670"/>
        <w:tab w:val="left" w:pos="6804"/>
        <w:tab w:val="left" w:pos="7938"/>
      </w:tabs>
      <w:jc w:val="both"/>
    </w:pPr>
    <w:rPr>
      <w:rFonts w:ascii="Arial" w:hAnsi="Arial"/>
      <w:sz w:val="24"/>
    </w:rPr>
  </w:style>
  <w:style w:type="paragraph" w:styleId="NurText">
    <w:name w:val="Plain Text"/>
    <w:basedOn w:val="Standard"/>
    <w:link w:val="NurTextZchn"/>
    <w:rPr>
      <w:rFonts w:ascii="Courier New" w:hAnsi="Courier New"/>
    </w:rPr>
  </w:style>
  <w:style w:type="paragraph" w:styleId="Sprechblasentext">
    <w:name w:val="Balloon Text"/>
    <w:basedOn w:val="Standard"/>
    <w:semiHidden/>
    <w:rsid w:val="00EB423D"/>
    <w:rPr>
      <w:rFonts w:ascii="Tahoma" w:hAnsi="Tahoma" w:cs="Tahoma"/>
      <w:sz w:val="16"/>
      <w:szCs w:val="16"/>
    </w:rPr>
  </w:style>
  <w:style w:type="paragraph" w:styleId="Kopfzeile">
    <w:name w:val="header"/>
    <w:basedOn w:val="Standard"/>
    <w:rsid w:val="002613E1"/>
    <w:pPr>
      <w:tabs>
        <w:tab w:val="center" w:pos="4536"/>
        <w:tab w:val="right" w:pos="9072"/>
      </w:tabs>
    </w:pPr>
    <w:rPr>
      <w:rFonts w:ascii="Arial" w:hAnsi="Arial"/>
      <w:sz w:val="24"/>
    </w:rPr>
  </w:style>
  <w:style w:type="table" w:styleId="Tabellenraster">
    <w:name w:val="Table Grid"/>
    <w:basedOn w:val="NormaleTabelle"/>
    <w:rsid w:val="00D9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6D7C"/>
    <w:rPr>
      <w:color w:val="0000FF"/>
      <w:u w:val="single"/>
    </w:rPr>
  </w:style>
  <w:style w:type="character" w:customStyle="1" w:styleId="NurTextZchn">
    <w:name w:val="Nur Text Zchn"/>
    <w:link w:val="NurText"/>
    <w:rsid w:val="009E4C3D"/>
    <w:rPr>
      <w:rFonts w:ascii="Courier New" w:hAnsi="Courier New"/>
    </w:rPr>
  </w:style>
  <w:style w:type="paragraph" w:styleId="Listenabsatz">
    <w:name w:val="List Paragraph"/>
    <w:basedOn w:val="Standard"/>
    <w:uiPriority w:val="34"/>
    <w:qFormat/>
    <w:rsid w:val="009E4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vigilance@pe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i.de/haemovigilanz-formulare" TargetMode="External"/><Relationship Id="rId5" Type="http://schemas.openxmlformats.org/officeDocument/2006/relationships/hyperlink" Target="http://www.pe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2416</Words>
  <Characters>15222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Gebrauchsinformation und Fachinformation</vt:lpstr>
    </vt:vector>
  </TitlesOfParts>
  <Company>Klinikum der Universität HRO</Company>
  <LinksUpToDate>false</LinksUpToDate>
  <CharactersWithSpaces>17603</CharactersWithSpaces>
  <SharedDoc>false</SharedDoc>
  <HLinks>
    <vt:vector size="18" baseType="variant">
      <vt:variant>
        <vt:i4>2687054</vt:i4>
      </vt:variant>
      <vt:variant>
        <vt:i4>6</vt:i4>
      </vt:variant>
      <vt:variant>
        <vt:i4>0</vt:i4>
      </vt:variant>
      <vt:variant>
        <vt:i4>5</vt:i4>
      </vt:variant>
      <vt:variant>
        <vt:lpwstr>mailto:pharmakovigilanz2@pei.de</vt:lpwstr>
      </vt:variant>
      <vt:variant>
        <vt:lpwstr/>
      </vt:variant>
      <vt:variant>
        <vt:i4>5701639</vt:i4>
      </vt:variant>
      <vt:variant>
        <vt:i4>3</vt:i4>
      </vt:variant>
      <vt:variant>
        <vt:i4>0</vt:i4>
      </vt:variant>
      <vt:variant>
        <vt:i4>5</vt:i4>
      </vt:variant>
      <vt:variant>
        <vt:lpwstr>http://www.pei.de/haemovigilanz-formulare</vt:lpwstr>
      </vt:variant>
      <vt:variant>
        <vt:lpwstr/>
      </vt: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Gebrauchsinformation und Fachinformation</dc:title>
  <dc:subject/>
  <dc:creator>AFTM</dc:creator>
  <cp:keywords/>
  <cp:lastModifiedBy>Sandmann, Anja</cp:lastModifiedBy>
  <cp:revision>3</cp:revision>
  <cp:lastPrinted>2016-10-26T10:07:00Z</cp:lastPrinted>
  <dcterms:created xsi:type="dcterms:W3CDTF">2024-07-24T11:14:00Z</dcterms:created>
  <dcterms:modified xsi:type="dcterms:W3CDTF">2024-10-29T09:53:00Z</dcterms:modified>
</cp:coreProperties>
</file>