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6FA6" w14:textId="77777777" w:rsidR="000B2BB2" w:rsidRPr="006E7B9E" w:rsidRDefault="000B2BB2" w:rsidP="00B12846">
      <w:pPr>
        <w:tabs>
          <w:tab w:val="left" w:pos="2552"/>
        </w:tabs>
        <w:ind w:right="-142"/>
        <w:rPr>
          <w:sz w:val="10"/>
        </w:rPr>
      </w:pPr>
      <w:r w:rsidRPr="006E7B9E">
        <w:rPr>
          <w:sz w:val="10"/>
        </w:rPr>
        <w:t>Universitäts</w:t>
      </w:r>
      <w:r>
        <w:rPr>
          <w:sz w:val="10"/>
        </w:rPr>
        <w:t>medizin</w:t>
      </w:r>
      <w:r w:rsidRPr="006E7B9E">
        <w:rPr>
          <w:sz w:val="10"/>
        </w:rPr>
        <w:t xml:space="preserve"> Rostock</w:t>
      </w:r>
      <w:r w:rsidRPr="006E7B9E">
        <w:rPr>
          <w:sz w:val="10"/>
        </w:rPr>
        <w:tab/>
        <w:t>Die Angaben dieser Gebrauchsinformation und Fachinformation werden stets neuen</w:t>
      </w:r>
    </w:p>
    <w:p w14:paraId="43E26FA7" w14:textId="77777777" w:rsidR="000B2BB2" w:rsidRPr="006E7B9E" w:rsidRDefault="000B2BB2" w:rsidP="000B2BB2">
      <w:pPr>
        <w:tabs>
          <w:tab w:val="left" w:pos="2552"/>
        </w:tabs>
        <w:rPr>
          <w:sz w:val="10"/>
        </w:rPr>
      </w:pPr>
      <w:r>
        <w:rPr>
          <w:sz w:val="10"/>
        </w:rPr>
        <w:t>Teilkörperschaft der Universität Rostock</w:t>
      </w:r>
      <w:r w:rsidRPr="006E7B9E">
        <w:rPr>
          <w:sz w:val="10"/>
        </w:rPr>
        <w:tab/>
        <w:t>Erkenntnissen angepasst und sollten vor Gebrauch eines jeden Blutbeutels beachtet</w:t>
      </w:r>
    </w:p>
    <w:p w14:paraId="43E26FA8" w14:textId="77777777" w:rsidR="000B2BB2" w:rsidRPr="006E7B9E" w:rsidRDefault="000B2BB2" w:rsidP="000B2BB2">
      <w:pPr>
        <w:tabs>
          <w:tab w:val="left" w:pos="2552"/>
        </w:tabs>
        <w:rPr>
          <w:sz w:val="10"/>
        </w:rPr>
      </w:pPr>
      <w:r w:rsidRPr="006E7B9E">
        <w:rPr>
          <w:sz w:val="10"/>
        </w:rPr>
        <w:tab/>
        <w:t>werden.</w:t>
      </w:r>
    </w:p>
    <w:p w14:paraId="43E26FA9" w14:textId="77777777" w:rsidR="000B2BB2" w:rsidRPr="006E7B9E" w:rsidRDefault="00226CC5" w:rsidP="000B2BB2">
      <w:pPr>
        <w:tabs>
          <w:tab w:val="left" w:pos="2552"/>
        </w:tabs>
        <w:rPr>
          <w:sz w:val="10"/>
        </w:rPr>
      </w:pPr>
      <w:r>
        <w:rPr>
          <w:sz w:val="10"/>
        </w:rPr>
        <w:t>Institut</w:t>
      </w:r>
      <w:r w:rsidR="000B2BB2" w:rsidRPr="006E7B9E">
        <w:rPr>
          <w:sz w:val="10"/>
        </w:rPr>
        <w:t xml:space="preserve"> für Transfusionsmedizin</w:t>
      </w:r>
    </w:p>
    <w:p w14:paraId="43E26FAA" w14:textId="77777777" w:rsidR="000B2BB2" w:rsidRPr="006E7B9E" w:rsidRDefault="000B2BB2" w:rsidP="000B2BB2">
      <w:pPr>
        <w:tabs>
          <w:tab w:val="left" w:pos="2552"/>
        </w:tabs>
        <w:rPr>
          <w:sz w:val="10"/>
        </w:rPr>
      </w:pPr>
      <w:r w:rsidRPr="006E7B9E">
        <w:rPr>
          <w:sz w:val="10"/>
        </w:rPr>
        <w:t>Postfach 10 08 88</w:t>
      </w:r>
    </w:p>
    <w:p w14:paraId="43E26FAB" w14:textId="77777777" w:rsidR="000B2BB2" w:rsidRPr="006E7B9E" w:rsidRDefault="005366D0" w:rsidP="000B2BB2">
      <w:pPr>
        <w:tabs>
          <w:tab w:val="left" w:pos="2552"/>
        </w:tabs>
        <w:rPr>
          <w:sz w:val="10"/>
        </w:rPr>
      </w:pPr>
      <w:r>
        <w:rPr>
          <w:sz w:val="10"/>
        </w:rPr>
        <w:t>Schillingallee 36</w:t>
      </w:r>
    </w:p>
    <w:p w14:paraId="43E26FAC" w14:textId="77777777" w:rsidR="000B2BB2" w:rsidRPr="006E7B9E" w:rsidRDefault="000B2BB2" w:rsidP="000B2BB2">
      <w:pPr>
        <w:tabs>
          <w:tab w:val="left" w:pos="2552"/>
        </w:tabs>
        <w:rPr>
          <w:sz w:val="10"/>
        </w:rPr>
      </w:pPr>
      <w:r w:rsidRPr="006E7B9E">
        <w:rPr>
          <w:sz w:val="10"/>
        </w:rPr>
        <w:t>1805</w:t>
      </w:r>
      <w:r>
        <w:rPr>
          <w:sz w:val="10"/>
        </w:rPr>
        <w:t>7</w:t>
      </w:r>
      <w:r w:rsidRPr="006E7B9E">
        <w:rPr>
          <w:sz w:val="10"/>
        </w:rPr>
        <w:t xml:space="preserve"> Rostock</w:t>
      </w:r>
    </w:p>
    <w:p w14:paraId="43E26FAD" w14:textId="77777777" w:rsidR="00BF0BA3" w:rsidRPr="005A2BA6" w:rsidRDefault="00A11386" w:rsidP="00A11386">
      <w:pPr>
        <w:tabs>
          <w:tab w:val="left" w:pos="993"/>
        </w:tabs>
        <w:rPr>
          <w:sz w:val="10"/>
        </w:rPr>
      </w:pPr>
      <w:r w:rsidRPr="005A2BA6">
        <w:rPr>
          <w:sz w:val="10"/>
        </w:rPr>
        <w:t>Tel.: 0381/494-7680/7453</w:t>
      </w:r>
    </w:p>
    <w:p w14:paraId="43E26FAE" w14:textId="77777777" w:rsidR="00BF0BA3" w:rsidRPr="005A2BA6" w:rsidRDefault="00BF0BA3">
      <w:pPr>
        <w:tabs>
          <w:tab w:val="left" w:pos="2552"/>
        </w:tabs>
        <w:rPr>
          <w:sz w:val="10"/>
        </w:rPr>
      </w:pPr>
    </w:p>
    <w:p w14:paraId="43E26FAF" w14:textId="77777777" w:rsidR="00BF0BA3" w:rsidRPr="005A2BA6" w:rsidRDefault="00BF0BA3">
      <w:pPr>
        <w:pStyle w:val="berschrift1"/>
        <w:rPr>
          <w:rFonts w:ascii="Times New Roman" w:hAnsi="Times New Roman"/>
        </w:rPr>
      </w:pPr>
      <w:r w:rsidRPr="005A2BA6">
        <w:rPr>
          <w:rFonts w:ascii="Times New Roman" w:hAnsi="Times New Roman"/>
        </w:rPr>
        <w:t>Gebrauchsinformation und Fachinformation Gefrorenes Frischplasma (Apherese) HRO/Uni</w:t>
      </w:r>
    </w:p>
    <w:p w14:paraId="43E26FB0" w14:textId="77777777" w:rsidR="00BF0BA3" w:rsidRPr="005A2BA6" w:rsidRDefault="00BF0BA3">
      <w:pPr>
        <w:rPr>
          <w:sz w:val="10"/>
        </w:rPr>
      </w:pPr>
    </w:p>
    <w:p w14:paraId="43E26FB1" w14:textId="77777777" w:rsidR="00BF0BA3" w:rsidRPr="005A2BA6" w:rsidRDefault="00BF0BA3">
      <w:pPr>
        <w:rPr>
          <w:b/>
          <w:sz w:val="10"/>
        </w:rPr>
      </w:pPr>
      <w:r w:rsidRPr="005A2BA6">
        <w:rPr>
          <w:b/>
          <w:sz w:val="10"/>
        </w:rPr>
        <w:t>1. Identifizierung des Arzneimittels</w:t>
      </w:r>
    </w:p>
    <w:p w14:paraId="43E26FB2" w14:textId="77777777" w:rsidR="00BF0BA3" w:rsidRPr="005A2BA6" w:rsidRDefault="00BF0BA3">
      <w:pPr>
        <w:rPr>
          <w:sz w:val="10"/>
        </w:rPr>
      </w:pPr>
      <w:r w:rsidRPr="005A2BA6">
        <w:rPr>
          <w:sz w:val="10"/>
        </w:rPr>
        <w:t>a) Bezeichnung</w:t>
      </w:r>
    </w:p>
    <w:p w14:paraId="43E26FB3" w14:textId="77777777" w:rsidR="00BF0BA3" w:rsidRPr="005A2BA6" w:rsidRDefault="00BF0BA3">
      <w:pPr>
        <w:rPr>
          <w:sz w:val="10"/>
        </w:rPr>
      </w:pPr>
      <w:r w:rsidRPr="005A2BA6">
        <w:rPr>
          <w:sz w:val="10"/>
        </w:rPr>
        <w:t>Gefrorenes Frischplasma (Apherese) HRO/Uni</w:t>
      </w:r>
    </w:p>
    <w:p w14:paraId="43E26FB4" w14:textId="77777777" w:rsidR="00BF0BA3" w:rsidRPr="005A2BA6" w:rsidRDefault="00BF0BA3">
      <w:pPr>
        <w:rPr>
          <w:sz w:val="10"/>
        </w:rPr>
      </w:pPr>
    </w:p>
    <w:p w14:paraId="43E26FB5" w14:textId="77777777" w:rsidR="00BF0BA3" w:rsidRPr="005A2BA6" w:rsidRDefault="00BF0BA3">
      <w:pPr>
        <w:rPr>
          <w:sz w:val="10"/>
        </w:rPr>
      </w:pPr>
      <w:r w:rsidRPr="005A2BA6">
        <w:rPr>
          <w:sz w:val="10"/>
        </w:rPr>
        <w:t xml:space="preserve">b) Stoffgruppe </w:t>
      </w:r>
    </w:p>
    <w:p w14:paraId="43E26FB6" w14:textId="77777777" w:rsidR="00BF0BA3" w:rsidRPr="005A2BA6" w:rsidRDefault="00010EDF">
      <w:pPr>
        <w:rPr>
          <w:sz w:val="10"/>
        </w:rPr>
      </w:pPr>
      <w:r w:rsidRPr="00762985">
        <w:rPr>
          <w:sz w:val="10"/>
        </w:rPr>
        <w:t>Blutzube</w:t>
      </w:r>
      <w:r>
        <w:rPr>
          <w:sz w:val="10"/>
        </w:rPr>
        <w:t>reitung, Plasma zur Transfusion</w:t>
      </w:r>
    </w:p>
    <w:p w14:paraId="43E26FB7" w14:textId="77777777" w:rsidR="00BF0BA3" w:rsidRPr="005A2BA6" w:rsidRDefault="00BF0BA3">
      <w:pPr>
        <w:rPr>
          <w:sz w:val="10"/>
        </w:rPr>
      </w:pPr>
    </w:p>
    <w:p w14:paraId="43E26FB8" w14:textId="77777777" w:rsidR="00BF0BA3" w:rsidRPr="005A2BA6" w:rsidRDefault="00BF0BA3" w:rsidP="009B3486">
      <w:pPr>
        <w:ind w:right="-299"/>
        <w:rPr>
          <w:b/>
          <w:sz w:val="10"/>
        </w:rPr>
      </w:pPr>
      <w:r w:rsidRPr="005A2BA6">
        <w:rPr>
          <w:b/>
          <w:sz w:val="10"/>
        </w:rPr>
        <w:t>2. Anwendungsgebiete</w:t>
      </w:r>
    </w:p>
    <w:p w14:paraId="43E26FB9" w14:textId="77777777" w:rsidR="005366D0" w:rsidRPr="00A34C19" w:rsidRDefault="00BF0BA3" w:rsidP="005366D0">
      <w:pPr>
        <w:rPr>
          <w:b/>
          <w:sz w:val="10"/>
        </w:rPr>
      </w:pPr>
      <w:r w:rsidRPr="005A2BA6">
        <w:rPr>
          <w:sz w:val="10"/>
        </w:rPr>
        <w:t xml:space="preserve">- </w:t>
      </w:r>
      <w:r w:rsidR="005366D0" w:rsidRPr="00A34C19">
        <w:rPr>
          <w:sz w:val="10"/>
        </w:rPr>
        <w:t>Verdünnungs- und/oder Verlustkoagulopathien</w:t>
      </w:r>
      <w:r w:rsidR="005366D0">
        <w:rPr>
          <w:sz w:val="10"/>
        </w:rPr>
        <w:t xml:space="preserve"> bei schwerem akuten Blutverlust</w:t>
      </w:r>
    </w:p>
    <w:p w14:paraId="43E26FBA" w14:textId="77777777" w:rsidR="005366D0" w:rsidRPr="00A34C19" w:rsidRDefault="005366D0" w:rsidP="005366D0">
      <w:pPr>
        <w:ind w:left="70" w:hanging="70"/>
        <w:jc w:val="both"/>
        <w:rPr>
          <w:sz w:val="10"/>
        </w:rPr>
      </w:pPr>
      <w:r w:rsidRPr="00A34C19">
        <w:rPr>
          <w:sz w:val="10"/>
        </w:rPr>
        <w:t>- Notfallsubstitution einer klinisch relevanten Blutungsneigung oder einer manifesten Blutung bei komplexen Störungen des Hämostasesystems, besonders bei schwerem Leberparenchym</w:t>
      </w:r>
      <w:r>
        <w:rPr>
          <w:sz w:val="10"/>
        </w:rPr>
        <w:softHyphen/>
      </w:r>
      <w:r w:rsidRPr="00A34C19">
        <w:rPr>
          <w:sz w:val="10"/>
        </w:rPr>
        <w:t>schaden oder im Rahmen einer disseminierten intravasalen Gerinnung (DIC). In jedem Fall hat die Behandlung der ursächlichen Krankheit Priorität. Da eine DIC immer eine Komplikation einer schweren Grunderkrankung (z.</w:t>
      </w:r>
      <w:r>
        <w:rPr>
          <w:sz w:val="10"/>
        </w:rPr>
        <w:t xml:space="preserve"> </w:t>
      </w:r>
      <w:r w:rsidRPr="00A34C19">
        <w:rPr>
          <w:sz w:val="10"/>
        </w:rPr>
        <w:t>B. Sepsis, Schock, Polytrauma) darstellt, sollte GFP nicht ohne Behandlung der zugrunde liegenden Pathomechanismen verabreicht werden.</w:t>
      </w:r>
    </w:p>
    <w:p w14:paraId="43E26FBB" w14:textId="77777777" w:rsidR="005366D0" w:rsidRPr="00A34C19" w:rsidRDefault="005366D0" w:rsidP="005366D0">
      <w:pPr>
        <w:rPr>
          <w:sz w:val="10"/>
        </w:rPr>
      </w:pPr>
      <w:r>
        <w:rPr>
          <w:sz w:val="10"/>
        </w:rPr>
        <w:t>- Substitution bei Faktor-V- und/oder Faktor-XI</w:t>
      </w:r>
      <w:r w:rsidRPr="00A34C19">
        <w:rPr>
          <w:sz w:val="10"/>
        </w:rPr>
        <w:t>-Mangel</w:t>
      </w:r>
    </w:p>
    <w:p w14:paraId="43E26FBC" w14:textId="77777777" w:rsidR="005366D0" w:rsidRPr="00A34C19" w:rsidRDefault="005366D0" w:rsidP="005366D0">
      <w:pPr>
        <w:rPr>
          <w:sz w:val="10"/>
        </w:rPr>
      </w:pPr>
      <w:r w:rsidRPr="00A34C19">
        <w:rPr>
          <w:sz w:val="10"/>
        </w:rPr>
        <w:t>- Thrombotisch-thrombozytopenische Purpura</w:t>
      </w:r>
    </w:p>
    <w:p w14:paraId="43E26FBD" w14:textId="77777777" w:rsidR="005366D0" w:rsidRPr="00A34C19" w:rsidRDefault="005366D0" w:rsidP="005366D0">
      <w:pPr>
        <w:rPr>
          <w:sz w:val="10"/>
        </w:rPr>
      </w:pPr>
      <w:r w:rsidRPr="00A34C19">
        <w:rPr>
          <w:sz w:val="10"/>
        </w:rPr>
        <w:t>- Austauschtransfusion</w:t>
      </w:r>
    </w:p>
    <w:p w14:paraId="43E26FBE" w14:textId="77777777" w:rsidR="005366D0" w:rsidRPr="00A34C19" w:rsidRDefault="005366D0" w:rsidP="005366D0">
      <w:pPr>
        <w:rPr>
          <w:sz w:val="10"/>
        </w:rPr>
      </w:pPr>
      <w:r w:rsidRPr="00A34C19">
        <w:rPr>
          <w:sz w:val="10"/>
        </w:rPr>
        <w:t xml:space="preserve">Eine Gabe von GFP ist </w:t>
      </w:r>
      <w:r w:rsidRPr="00762985">
        <w:rPr>
          <w:sz w:val="10"/>
          <w:u w:val="single"/>
        </w:rPr>
        <w:t>nicht</w:t>
      </w:r>
      <w:r w:rsidRPr="00A34C19">
        <w:rPr>
          <w:sz w:val="10"/>
        </w:rPr>
        <w:t xml:space="preserve"> angezeigt als Volumen-, Eiweiß- und Albuminersatz, z</w:t>
      </w:r>
      <w:r>
        <w:rPr>
          <w:sz w:val="10"/>
        </w:rPr>
        <w:t>ur Immunglobulinsubstitution, zur parenteralen Ernährung und zur Antagonisierung oraler Antikoagulantien.</w:t>
      </w:r>
    </w:p>
    <w:p w14:paraId="43E26FBF" w14:textId="77777777" w:rsidR="00BF0BA3" w:rsidRPr="005A2BA6" w:rsidRDefault="00BF0BA3" w:rsidP="005366D0">
      <w:pPr>
        <w:ind w:left="56" w:hanging="56"/>
        <w:jc w:val="both"/>
        <w:rPr>
          <w:sz w:val="10"/>
        </w:rPr>
      </w:pPr>
    </w:p>
    <w:p w14:paraId="43E26FC0" w14:textId="77777777" w:rsidR="00BF0BA3" w:rsidRPr="005A2BA6" w:rsidRDefault="00BF0BA3">
      <w:pPr>
        <w:rPr>
          <w:b/>
          <w:sz w:val="10"/>
        </w:rPr>
      </w:pPr>
      <w:r w:rsidRPr="005A2BA6">
        <w:rPr>
          <w:b/>
          <w:sz w:val="10"/>
        </w:rPr>
        <w:t>3. Informationen zur Anwendung</w:t>
      </w:r>
    </w:p>
    <w:p w14:paraId="43E26FC1" w14:textId="77777777" w:rsidR="00BF0BA3" w:rsidRPr="005A2BA6" w:rsidRDefault="00BF0BA3">
      <w:pPr>
        <w:rPr>
          <w:sz w:val="10"/>
        </w:rPr>
      </w:pPr>
      <w:r w:rsidRPr="005A2BA6">
        <w:rPr>
          <w:sz w:val="10"/>
        </w:rPr>
        <w:t>a) Gegenanzeigen</w:t>
      </w:r>
    </w:p>
    <w:p w14:paraId="43E26FC2" w14:textId="77777777" w:rsidR="00BF0BA3" w:rsidRPr="005A2BA6" w:rsidRDefault="00BF0BA3">
      <w:pPr>
        <w:rPr>
          <w:sz w:val="10"/>
        </w:rPr>
      </w:pPr>
      <w:r w:rsidRPr="005A2BA6">
        <w:rPr>
          <w:sz w:val="10"/>
        </w:rPr>
        <w:t>Absolut:</w:t>
      </w:r>
    </w:p>
    <w:p w14:paraId="43E26FC3" w14:textId="77777777" w:rsidR="00BF0BA3" w:rsidRPr="005A2BA6" w:rsidRDefault="00BF0BA3">
      <w:pPr>
        <w:rPr>
          <w:sz w:val="10"/>
        </w:rPr>
      </w:pPr>
      <w:r w:rsidRPr="005A2BA6">
        <w:rPr>
          <w:sz w:val="10"/>
        </w:rPr>
        <w:t>- Plasmaeiweiß-Unverträglichkeit</w:t>
      </w:r>
    </w:p>
    <w:p w14:paraId="43E26FC4" w14:textId="77777777" w:rsidR="00BF0BA3" w:rsidRPr="005A2BA6" w:rsidRDefault="00BF0BA3">
      <w:pPr>
        <w:rPr>
          <w:sz w:val="10"/>
        </w:rPr>
      </w:pPr>
      <w:r w:rsidRPr="005A2BA6">
        <w:rPr>
          <w:sz w:val="10"/>
        </w:rPr>
        <w:t>Relativ:</w:t>
      </w:r>
    </w:p>
    <w:p w14:paraId="43E26FC5" w14:textId="77777777" w:rsidR="00BF0BA3" w:rsidRPr="005A2BA6" w:rsidRDefault="00BF0BA3">
      <w:pPr>
        <w:rPr>
          <w:sz w:val="10"/>
        </w:rPr>
      </w:pPr>
      <w:r w:rsidRPr="005A2BA6">
        <w:rPr>
          <w:sz w:val="10"/>
        </w:rPr>
        <w:t>- Kardiale Dekompensation, Hypervolämie, Hyperhydratation, Lungenödem</w:t>
      </w:r>
    </w:p>
    <w:p w14:paraId="43E26FC6" w14:textId="77777777" w:rsidR="00BF0BA3" w:rsidRPr="005A2BA6" w:rsidRDefault="00BF0BA3">
      <w:pPr>
        <w:rPr>
          <w:sz w:val="10"/>
        </w:rPr>
      </w:pPr>
      <w:r w:rsidRPr="005A2BA6">
        <w:rPr>
          <w:sz w:val="10"/>
        </w:rPr>
        <w:t>- nachgewiesener IgA-Mangel</w:t>
      </w:r>
    </w:p>
    <w:p w14:paraId="43E26FC7" w14:textId="77777777" w:rsidR="00BF0BA3" w:rsidRPr="005A2BA6" w:rsidRDefault="00BF0BA3">
      <w:pPr>
        <w:rPr>
          <w:sz w:val="10"/>
        </w:rPr>
      </w:pPr>
    </w:p>
    <w:p w14:paraId="43E26FC8" w14:textId="77777777" w:rsidR="00BF0BA3" w:rsidRPr="005A2BA6" w:rsidRDefault="00BF0BA3">
      <w:pPr>
        <w:rPr>
          <w:sz w:val="10"/>
        </w:rPr>
      </w:pPr>
      <w:r w:rsidRPr="005A2BA6">
        <w:rPr>
          <w:sz w:val="10"/>
        </w:rPr>
        <w:t>b) Vorsichtsmaßnahmen für die Anwendung</w:t>
      </w:r>
    </w:p>
    <w:p w14:paraId="43E26FC9" w14:textId="444EB54E" w:rsidR="00BF0BA3" w:rsidRPr="005A2BA6" w:rsidRDefault="00BF0BA3" w:rsidP="00A11386">
      <w:pPr>
        <w:jc w:val="both"/>
        <w:rPr>
          <w:sz w:val="10"/>
        </w:rPr>
      </w:pPr>
      <w:r w:rsidRPr="005A2BA6">
        <w:rPr>
          <w:sz w:val="10"/>
        </w:rPr>
        <w:t xml:space="preserve">Plasma wird AB0-gleich über ein Transfusionsgerät mit Standardfilter der Porengröße 170 bis 230 µm transfundiert. In Ausnahmefällen können auch AB0-kompatible Plasmen (s. </w:t>
      </w:r>
      <w:r w:rsidR="00D934A2">
        <w:rPr>
          <w:sz w:val="10"/>
        </w:rPr>
        <w:t>Querschnittsleitlinie</w:t>
      </w:r>
      <w:r w:rsidR="002F3338">
        <w:rPr>
          <w:sz w:val="10"/>
        </w:rPr>
        <w:t>n</w:t>
      </w:r>
      <w:r w:rsidRPr="005A2BA6">
        <w:rPr>
          <w:sz w:val="10"/>
        </w:rPr>
        <w:t>) transfundiert werden. Es sollte in der Regel schnell infundiert werden, dem Zustand des Patienten entsprechend ist der Kreislauf zu kontrollieren. Werden mehr als 50 ml/min beim Erwachsenen appliziert, ist eine zusätzliche Gabe von Kalzium erforderlich.</w:t>
      </w:r>
    </w:p>
    <w:p w14:paraId="43E26FCA" w14:textId="77777777" w:rsidR="00BF0BA3" w:rsidRDefault="00BF0BA3" w:rsidP="00A11386">
      <w:pPr>
        <w:jc w:val="both"/>
        <w:rPr>
          <w:sz w:val="10"/>
        </w:rPr>
      </w:pPr>
      <w:r w:rsidRPr="005A2BA6">
        <w:rPr>
          <w:sz w:val="10"/>
        </w:rPr>
        <w:t>Bei neonataler Transfusion sollte sorgfältig auf Anzeichen einer Zitratintoxikation geachtet und die Transfusionsgeschwindigkeit dem klinischen Zustand angepasst werden.</w:t>
      </w:r>
    </w:p>
    <w:p w14:paraId="43E26FCB" w14:textId="77777777" w:rsidR="0059060C" w:rsidRPr="005A2BA6" w:rsidRDefault="0059060C" w:rsidP="00A11386">
      <w:pPr>
        <w:jc w:val="both"/>
        <w:rPr>
          <w:sz w:val="10"/>
        </w:rPr>
      </w:pPr>
      <w:r>
        <w:rPr>
          <w:sz w:val="10"/>
        </w:rPr>
        <w:t>Eine Erwärmung des therapeutischen Plasmas mit dafür zugelassenen Geräten ist notwendig bei Massivtransfusion, Patienten mit Unterkühlung vor Transfusion, Kälteagglutininkrankheit, hochtitrigen Kälteantikörpern, Vasospasmus auf Kältereiz oder bei Früh- und Neugeborenen, Kindern.</w:t>
      </w:r>
    </w:p>
    <w:p w14:paraId="43E26FCC" w14:textId="77777777" w:rsidR="00BF0BA3" w:rsidRPr="005A2BA6" w:rsidRDefault="00BF0BA3" w:rsidP="00A11386">
      <w:pPr>
        <w:jc w:val="both"/>
        <w:rPr>
          <w:sz w:val="10"/>
        </w:rPr>
      </w:pPr>
    </w:p>
    <w:p w14:paraId="43E26FCD" w14:textId="77777777" w:rsidR="00BF0BA3" w:rsidRPr="005A2BA6" w:rsidRDefault="00BF0BA3" w:rsidP="00A11386">
      <w:pPr>
        <w:jc w:val="both"/>
        <w:rPr>
          <w:sz w:val="10"/>
        </w:rPr>
      </w:pPr>
      <w:r w:rsidRPr="005A2BA6">
        <w:rPr>
          <w:sz w:val="10"/>
        </w:rPr>
        <w:t>c) Wechselwirkungen mit anderen Arzneimitteln, soweit sie die Wirkungsweise des Arzneimittels beeinflussen können und Hauptinkompatibilitäten</w:t>
      </w:r>
    </w:p>
    <w:p w14:paraId="43E26FCE" w14:textId="77777777" w:rsidR="00BF0BA3" w:rsidRPr="005A2BA6" w:rsidRDefault="00BF0BA3" w:rsidP="00A11386">
      <w:pPr>
        <w:jc w:val="both"/>
        <w:rPr>
          <w:sz w:val="10"/>
        </w:rPr>
      </w:pPr>
      <w:r w:rsidRPr="005A2BA6">
        <w:rPr>
          <w:sz w:val="10"/>
        </w:rPr>
        <w:t>Wechselwirkungen mit anderen Mitteln sind nicht bekannt. Wegen der möglichen Aktivierung der Gerinnungsfaktoren dürfen kalziumhaltige Lösungen nicht gleichzeitig in demselben Schlauchsystem appliziert werden. Die Beimischung von Medikamenten zum Plasma ist nicht zulässig.</w:t>
      </w:r>
    </w:p>
    <w:p w14:paraId="43E26FCF" w14:textId="77777777" w:rsidR="00BF0BA3" w:rsidRPr="005A2BA6" w:rsidRDefault="00BF0BA3" w:rsidP="00A11386">
      <w:pPr>
        <w:jc w:val="both"/>
        <w:rPr>
          <w:sz w:val="10"/>
        </w:rPr>
      </w:pPr>
    </w:p>
    <w:p w14:paraId="43E26FD0" w14:textId="77777777" w:rsidR="00BF0BA3" w:rsidRPr="005A2BA6" w:rsidRDefault="00BF0BA3" w:rsidP="00A11386">
      <w:pPr>
        <w:jc w:val="both"/>
        <w:rPr>
          <w:sz w:val="10"/>
        </w:rPr>
      </w:pPr>
      <w:r w:rsidRPr="005A2BA6">
        <w:rPr>
          <w:sz w:val="10"/>
        </w:rPr>
        <w:t>d) Verwendung für besondere Personengruppen</w:t>
      </w:r>
    </w:p>
    <w:p w14:paraId="43E26FD1" w14:textId="77777777" w:rsidR="00BF0BA3" w:rsidRPr="005A2BA6" w:rsidRDefault="00BF0BA3" w:rsidP="00A11386">
      <w:pPr>
        <w:jc w:val="both"/>
        <w:rPr>
          <w:sz w:val="10"/>
        </w:rPr>
      </w:pPr>
      <w:r w:rsidRPr="005A2BA6">
        <w:rPr>
          <w:sz w:val="10"/>
          <w:u w:val="single"/>
        </w:rPr>
        <w:t>Schwangerschaft und Stillzeit:</w:t>
      </w:r>
      <w:r w:rsidRPr="005A2BA6">
        <w:rPr>
          <w:sz w:val="10"/>
        </w:rPr>
        <w:t xml:space="preserve"> bei bestimmungsgemäßem Gebrauch bes</w:t>
      </w:r>
      <w:r w:rsidR="00A74FE1">
        <w:rPr>
          <w:sz w:val="10"/>
        </w:rPr>
        <w:t>tehen keine Einwände.</w:t>
      </w:r>
      <w:r w:rsidRPr="005A2BA6">
        <w:rPr>
          <w:sz w:val="10"/>
        </w:rPr>
        <w:t xml:space="preserve"> </w:t>
      </w:r>
    </w:p>
    <w:p w14:paraId="43E26FD2" w14:textId="77777777" w:rsidR="00BF0BA3" w:rsidRPr="005A2BA6" w:rsidRDefault="00BF0BA3" w:rsidP="00A11386">
      <w:pPr>
        <w:jc w:val="both"/>
        <w:rPr>
          <w:sz w:val="10"/>
        </w:rPr>
      </w:pPr>
      <w:r w:rsidRPr="005A2BA6">
        <w:rPr>
          <w:sz w:val="10"/>
          <w:u w:val="single"/>
        </w:rPr>
        <w:t>Auswirkung auf Kraftfahrer und die Bedienung von Maschinen:</w:t>
      </w:r>
      <w:r w:rsidRPr="005A2BA6">
        <w:rPr>
          <w:sz w:val="10"/>
        </w:rPr>
        <w:t xml:space="preserve"> Nach der Transfusion von Plasma sollte eine Ruhepause von mindestens 1/2 Stunde eingehalten werden.</w:t>
      </w:r>
    </w:p>
    <w:p w14:paraId="43E26FD3" w14:textId="77777777" w:rsidR="00BF0BA3" w:rsidRPr="005A2BA6" w:rsidRDefault="00BF0BA3">
      <w:pPr>
        <w:rPr>
          <w:sz w:val="10"/>
        </w:rPr>
      </w:pPr>
    </w:p>
    <w:p w14:paraId="43E26FD4" w14:textId="77777777" w:rsidR="00BF0BA3" w:rsidRPr="005A2BA6" w:rsidRDefault="00BF0BA3">
      <w:pPr>
        <w:rPr>
          <w:sz w:val="10"/>
        </w:rPr>
      </w:pPr>
      <w:r w:rsidRPr="005A2BA6">
        <w:rPr>
          <w:sz w:val="10"/>
        </w:rPr>
        <w:t>e) Warnhinweise</w:t>
      </w:r>
    </w:p>
    <w:p w14:paraId="43E26FD5" w14:textId="77777777" w:rsidR="00BF0BA3" w:rsidRPr="005A2BA6" w:rsidRDefault="00BF0BA3">
      <w:pPr>
        <w:rPr>
          <w:sz w:val="10"/>
        </w:rPr>
      </w:pPr>
      <w:r w:rsidRPr="005A2BA6">
        <w:rPr>
          <w:sz w:val="10"/>
        </w:rPr>
        <w:t>sind nicht angeordnet.</w:t>
      </w:r>
    </w:p>
    <w:p w14:paraId="43E26FD6" w14:textId="77777777" w:rsidR="00BF0BA3" w:rsidRPr="005A2BA6" w:rsidRDefault="00BF0BA3">
      <w:pPr>
        <w:rPr>
          <w:sz w:val="10"/>
        </w:rPr>
      </w:pPr>
    </w:p>
    <w:p w14:paraId="43E26FD7" w14:textId="77777777" w:rsidR="00BF0BA3" w:rsidRPr="005A2BA6" w:rsidRDefault="00BF0BA3">
      <w:pPr>
        <w:rPr>
          <w:b/>
          <w:sz w:val="10"/>
        </w:rPr>
      </w:pPr>
      <w:r w:rsidRPr="005A2BA6">
        <w:rPr>
          <w:b/>
          <w:sz w:val="10"/>
        </w:rPr>
        <w:t>4. Hinweise zur ordnungsgemäßen Anwendung</w:t>
      </w:r>
    </w:p>
    <w:p w14:paraId="43E26FD8" w14:textId="77777777" w:rsidR="00BF0BA3" w:rsidRPr="005A2BA6" w:rsidRDefault="00BF0BA3">
      <w:pPr>
        <w:rPr>
          <w:sz w:val="10"/>
        </w:rPr>
      </w:pPr>
      <w:r w:rsidRPr="005A2BA6">
        <w:rPr>
          <w:sz w:val="10"/>
        </w:rPr>
        <w:t>a) Dosierung</w:t>
      </w:r>
    </w:p>
    <w:p w14:paraId="43E26FD9" w14:textId="77777777" w:rsidR="00BF0BA3" w:rsidRPr="005A2BA6" w:rsidRDefault="00BF0BA3" w:rsidP="00135E64">
      <w:pPr>
        <w:jc w:val="both"/>
        <w:rPr>
          <w:sz w:val="10"/>
        </w:rPr>
      </w:pPr>
      <w:r w:rsidRPr="005A2BA6">
        <w:rPr>
          <w:sz w:val="10"/>
        </w:rPr>
        <w:t>Die Dosierung richtet sich nach dem klinischen Bild und dem Ergebnis von Blutgerinnungsuntersuchungen. Zur Orientierung hinsichtlich der initialen Dosis gilt die Faustregel: 1 ml Plasma/kg Körpergewicht erhöht den Fak</w:t>
      </w:r>
      <w:r w:rsidR="000258ED">
        <w:rPr>
          <w:sz w:val="10"/>
        </w:rPr>
        <w:t xml:space="preserve">torengehalt um </w:t>
      </w:r>
      <w:r w:rsidRPr="005A2BA6">
        <w:rPr>
          <w:sz w:val="10"/>
        </w:rPr>
        <w:t xml:space="preserve">bis </w:t>
      </w:r>
      <w:r w:rsidR="000258ED">
        <w:rPr>
          <w:sz w:val="10"/>
        </w:rPr>
        <w:t>zu 1</w:t>
      </w:r>
      <w:r w:rsidR="005366D0">
        <w:rPr>
          <w:sz w:val="10"/>
        </w:rPr>
        <w:t xml:space="preserve"> </w:t>
      </w:r>
      <w:r w:rsidRPr="005A2BA6">
        <w:rPr>
          <w:sz w:val="10"/>
        </w:rPr>
        <w:t>%. Um eine hämostyptische Wirkung zu erreichen, sind beim Erwachsenen initial mindestens 3 bis 4 Einheiten Plasma erforderlich.</w:t>
      </w:r>
    </w:p>
    <w:p w14:paraId="43E26FDA" w14:textId="77777777" w:rsidR="00BF0BA3" w:rsidRPr="005A2BA6" w:rsidRDefault="00BF0BA3">
      <w:pPr>
        <w:rPr>
          <w:sz w:val="10"/>
        </w:rPr>
      </w:pPr>
    </w:p>
    <w:p w14:paraId="43E26FDB" w14:textId="77777777" w:rsidR="00BF0BA3" w:rsidRPr="005A2BA6" w:rsidRDefault="00BF0BA3">
      <w:pPr>
        <w:rPr>
          <w:sz w:val="10"/>
        </w:rPr>
      </w:pPr>
      <w:r w:rsidRPr="005A2BA6">
        <w:rPr>
          <w:sz w:val="10"/>
        </w:rPr>
        <w:t>b) Art der Anwendung</w:t>
      </w:r>
    </w:p>
    <w:p w14:paraId="43E26FDC" w14:textId="77777777" w:rsidR="00BF0BA3" w:rsidRPr="005A2BA6" w:rsidRDefault="00BF0BA3">
      <w:pPr>
        <w:rPr>
          <w:sz w:val="10"/>
        </w:rPr>
      </w:pPr>
      <w:r w:rsidRPr="005A2BA6">
        <w:rPr>
          <w:sz w:val="10"/>
        </w:rPr>
        <w:t xml:space="preserve">zur i. v. Infusion nach Auftauen </w:t>
      </w:r>
    </w:p>
    <w:p w14:paraId="43E26FDD" w14:textId="77777777" w:rsidR="00BF0BA3" w:rsidRPr="005A2BA6" w:rsidRDefault="00BF0BA3">
      <w:pPr>
        <w:rPr>
          <w:sz w:val="10"/>
        </w:rPr>
      </w:pPr>
    </w:p>
    <w:p w14:paraId="43E26FDE" w14:textId="77777777" w:rsidR="00BF0BA3" w:rsidRPr="005A2BA6" w:rsidRDefault="00BF0BA3">
      <w:pPr>
        <w:rPr>
          <w:sz w:val="10"/>
        </w:rPr>
      </w:pPr>
      <w:r w:rsidRPr="005A2BA6">
        <w:rPr>
          <w:sz w:val="10"/>
        </w:rPr>
        <w:t>c) Häufigkeit der Verabreichung</w:t>
      </w:r>
    </w:p>
    <w:p w14:paraId="43E26FDF" w14:textId="77777777" w:rsidR="00BF0BA3" w:rsidRPr="005A2BA6" w:rsidRDefault="00BF0BA3">
      <w:pPr>
        <w:rPr>
          <w:sz w:val="10"/>
        </w:rPr>
      </w:pPr>
      <w:r w:rsidRPr="005A2BA6">
        <w:rPr>
          <w:sz w:val="10"/>
        </w:rPr>
        <w:t>nach Indikationsstellung</w:t>
      </w:r>
    </w:p>
    <w:p w14:paraId="43E26FE0" w14:textId="77777777" w:rsidR="00BF0BA3" w:rsidRPr="005A2BA6" w:rsidRDefault="00BF0BA3">
      <w:pPr>
        <w:rPr>
          <w:sz w:val="10"/>
        </w:rPr>
      </w:pPr>
    </w:p>
    <w:p w14:paraId="43E26FE1" w14:textId="77777777" w:rsidR="00BF0BA3" w:rsidRPr="005A2BA6" w:rsidRDefault="00BF0BA3">
      <w:pPr>
        <w:rPr>
          <w:sz w:val="10"/>
        </w:rPr>
      </w:pPr>
      <w:r w:rsidRPr="005A2BA6">
        <w:rPr>
          <w:sz w:val="10"/>
        </w:rPr>
        <w:t>d) Dauer der Behandlung</w:t>
      </w:r>
    </w:p>
    <w:p w14:paraId="43E26FE2" w14:textId="77777777" w:rsidR="00BF0BA3" w:rsidRPr="005A2BA6" w:rsidRDefault="00BF0BA3">
      <w:pPr>
        <w:rPr>
          <w:sz w:val="10"/>
        </w:rPr>
      </w:pPr>
      <w:r w:rsidRPr="005A2BA6">
        <w:rPr>
          <w:sz w:val="10"/>
        </w:rPr>
        <w:t xml:space="preserve">nach Indikationsstellung </w:t>
      </w:r>
    </w:p>
    <w:p w14:paraId="43E26FE3" w14:textId="77777777" w:rsidR="00BF0BA3" w:rsidRPr="005A2BA6" w:rsidRDefault="00BF0BA3">
      <w:pPr>
        <w:rPr>
          <w:sz w:val="10"/>
        </w:rPr>
      </w:pPr>
    </w:p>
    <w:p w14:paraId="43E26FE4" w14:textId="77777777" w:rsidR="00BF0BA3" w:rsidRPr="005A2BA6" w:rsidRDefault="00BF0BA3">
      <w:pPr>
        <w:rPr>
          <w:sz w:val="10"/>
        </w:rPr>
      </w:pPr>
      <w:r w:rsidRPr="005A2BA6">
        <w:rPr>
          <w:sz w:val="10"/>
        </w:rPr>
        <w:t>e) Überdosierung</w:t>
      </w:r>
    </w:p>
    <w:p w14:paraId="43E26FE5" w14:textId="77777777" w:rsidR="00BF0BA3" w:rsidRPr="005A2BA6" w:rsidRDefault="00BF0BA3">
      <w:pPr>
        <w:rPr>
          <w:sz w:val="10"/>
        </w:rPr>
      </w:pPr>
      <w:r w:rsidRPr="005A2BA6">
        <w:rPr>
          <w:sz w:val="10"/>
        </w:rPr>
        <w:t>Bei hoher Dosis besteht die Gefahr einer Kreislaufüberbelastung.</w:t>
      </w:r>
    </w:p>
    <w:p w14:paraId="43E26FE6" w14:textId="77777777" w:rsidR="00BF0BA3" w:rsidRPr="005A2BA6" w:rsidRDefault="00BF0BA3">
      <w:pPr>
        <w:rPr>
          <w:sz w:val="10"/>
        </w:rPr>
      </w:pPr>
    </w:p>
    <w:p w14:paraId="43E26FE7" w14:textId="77777777" w:rsidR="00BF0BA3" w:rsidRPr="005A2BA6" w:rsidRDefault="00BF0BA3">
      <w:pPr>
        <w:rPr>
          <w:sz w:val="10"/>
        </w:rPr>
      </w:pPr>
      <w:r w:rsidRPr="005A2BA6">
        <w:rPr>
          <w:sz w:val="10"/>
        </w:rPr>
        <w:t>f) Notfallmaßnahmen</w:t>
      </w:r>
    </w:p>
    <w:p w14:paraId="43E26FE8" w14:textId="77777777" w:rsidR="00BF0BA3" w:rsidRPr="005A2BA6" w:rsidRDefault="00BF0BA3" w:rsidP="00A11386">
      <w:pPr>
        <w:jc w:val="both"/>
        <w:rPr>
          <w:sz w:val="10"/>
        </w:rPr>
      </w:pPr>
      <w:r w:rsidRPr="005A2BA6">
        <w:rPr>
          <w:sz w:val="10"/>
        </w:rPr>
        <w:t>Treten Unverträglichkeiten auf, so ist die Transfusion unverzüglich abzubrechen, der Venenzugang jedoch offen zuhalten und eine Behandlung, der Schwere der Symptome gemäß, nach den aktuellen Regeln der Notfalltherapie einzuleiten. Bei Hypervolämie kann eine Volumenreduktion angezeigt sein.</w:t>
      </w:r>
    </w:p>
    <w:p w14:paraId="43E26FE9" w14:textId="77777777" w:rsidR="00BF0BA3" w:rsidRPr="005A2BA6" w:rsidRDefault="00BF0BA3" w:rsidP="00A11386">
      <w:pPr>
        <w:jc w:val="both"/>
        <w:rPr>
          <w:sz w:val="10"/>
        </w:rPr>
      </w:pPr>
    </w:p>
    <w:p w14:paraId="43E26FEA" w14:textId="77777777" w:rsidR="00BF0BA3" w:rsidRPr="005A2BA6" w:rsidRDefault="00BF0BA3" w:rsidP="00A11386">
      <w:pPr>
        <w:jc w:val="both"/>
        <w:rPr>
          <w:b/>
          <w:sz w:val="10"/>
        </w:rPr>
      </w:pPr>
      <w:r w:rsidRPr="005A2BA6">
        <w:rPr>
          <w:b/>
          <w:sz w:val="10"/>
        </w:rPr>
        <w:t>5. Nebenwirkungen</w:t>
      </w:r>
    </w:p>
    <w:p w14:paraId="43E26FEB" w14:textId="77777777" w:rsidR="005366D0" w:rsidRPr="00A34C19" w:rsidRDefault="005366D0" w:rsidP="005366D0">
      <w:pPr>
        <w:numPr>
          <w:ilvl w:val="0"/>
          <w:numId w:val="6"/>
        </w:numPr>
        <w:ind w:left="142" w:hanging="142"/>
        <w:contextualSpacing/>
        <w:jc w:val="both"/>
        <w:rPr>
          <w:sz w:val="10"/>
        </w:rPr>
      </w:pPr>
      <w:r>
        <w:rPr>
          <w:sz w:val="10"/>
        </w:rPr>
        <w:t>Insbesondere bei hohen Transfusionsgeschwindigkeiten und Transfusionsvolumina kann es zur Volumenüberlastung des Kreislaufes (Hypervolämie, transfusionsassoziierte zirkulatorische Überladung) kommen, sie kann insbesondere bei Herzkreislauferkrankungen zu akutem Herzversagen mit Lungenödem führen</w:t>
      </w:r>
      <w:r w:rsidRPr="00A34C19">
        <w:rPr>
          <w:sz w:val="10"/>
        </w:rPr>
        <w:t>.</w:t>
      </w:r>
    </w:p>
    <w:p w14:paraId="43E26FEC" w14:textId="77777777" w:rsidR="005366D0" w:rsidRPr="00A34C19" w:rsidRDefault="005366D0" w:rsidP="005366D0">
      <w:pPr>
        <w:numPr>
          <w:ilvl w:val="0"/>
          <w:numId w:val="6"/>
        </w:numPr>
        <w:ind w:left="142" w:hanging="142"/>
        <w:contextualSpacing/>
        <w:jc w:val="both"/>
        <w:rPr>
          <w:sz w:val="10"/>
        </w:rPr>
      </w:pPr>
      <w:r w:rsidRPr="00A34C19">
        <w:rPr>
          <w:sz w:val="10"/>
        </w:rPr>
        <w:t>Zitratintoxikationen sind bei schneller Transfusion und bei größeren Volumina insbesondere bei Leberfunktionsstörung, Schock, Azidose, Hypothermie sowie bei Neugeborenen möglich.</w:t>
      </w:r>
    </w:p>
    <w:p w14:paraId="43E26FED" w14:textId="77777777" w:rsidR="005366D0" w:rsidRDefault="005366D0" w:rsidP="005366D0">
      <w:pPr>
        <w:numPr>
          <w:ilvl w:val="0"/>
          <w:numId w:val="6"/>
        </w:numPr>
        <w:ind w:left="142" w:hanging="142"/>
        <w:contextualSpacing/>
        <w:jc w:val="both"/>
        <w:rPr>
          <w:sz w:val="10"/>
        </w:rPr>
      </w:pPr>
      <w:r w:rsidRPr="00A34C19">
        <w:rPr>
          <w:sz w:val="10"/>
        </w:rPr>
        <w:t>Transfusionsassoziierte akute Lungeninsuffizienz (TRALI)</w:t>
      </w:r>
    </w:p>
    <w:p w14:paraId="43E26FEE" w14:textId="77777777" w:rsidR="005366D0" w:rsidRDefault="005366D0" w:rsidP="005366D0">
      <w:pPr>
        <w:numPr>
          <w:ilvl w:val="0"/>
          <w:numId w:val="6"/>
        </w:numPr>
        <w:ind w:left="142" w:hanging="142"/>
        <w:contextualSpacing/>
        <w:jc w:val="both"/>
        <w:rPr>
          <w:sz w:val="10"/>
        </w:rPr>
      </w:pPr>
      <w:r>
        <w:rPr>
          <w:sz w:val="10"/>
        </w:rPr>
        <w:t>Akute allergische/anaphylaktische Transfusionsreaktion</w:t>
      </w:r>
    </w:p>
    <w:p w14:paraId="43E26FEF" w14:textId="77777777" w:rsidR="005366D0" w:rsidRDefault="005366D0" w:rsidP="005366D0">
      <w:pPr>
        <w:numPr>
          <w:ilvl w:val="0"/>
          <w:numId w:val="6"/>
        </w:numPr>
        <w:ind w:left="142" w:hanging="142"/>
        <w:contextualSpacing/>
        <w:jc w:val="both"/>
        <w:rPr>
          <w:sz w:val="10"/>
        </w:rPr>
      </w:pPr>
      <w:r>
        <w:rPr>
          <w:sz w:val="10"/>
        </w:rPr>
        <w:t>Bei Massivtransfusionen kann eine transfusionsinduzierte Hypothermie auftreten.</w:t>
      </w:r>
    </w:p>
    <w:p w14:paraId="43E26FF0" w14:textId="77777777" w:rsidR="005366D0" w:rsidRPr="00BB63D2" w:rsidRDefault="005366D0" w:rsidP="005366D0">
      <w:pPr>
        <w:numPr>
          <w:ilvl w:val="0"/>
          <w:numId w:val="6"/>
        </w:numPr>
        <w:ind w:left="142" w:hanging="142"/>
        <w:contextualSpacing/>
        <w:jc w:val="both"/>
        <w:rPr>
          <w:sz w:val="10"/>
        </w:rPr>
      </w:pPr>
      <w:r w:rsidRPr="00BB63D2">
        <w:rPr>
          <w:sz w:val="10"/>
        </w:rPr>
        <w:t>Eine Bildung von Hemmkörpern gegen Gerinnungsfaktoren ist möglich.</w:t>
      </w:r>
    </w:p>
    <w:p w14:paraId="43E26FF1" w14:textId="77777777" w:rsidR="005366D0" w:rsidRPr="00A34C19" w:rsidRDefault="005366D0" w:rsidP="005366D0">
      <w:pPr>
        <w:numPr>
          <w:ilvl w:val="0"/>
          <w:numId w:val="6"/>
        </w:numPr>
        <w:ind w:left="142" w:hanging="142"/>
        <w:contextualSpacing/>
        <w:jc w:val="both"/>
        <w:rPr>
          <w:sz w:val="10"/>
        </w:rPr>
      </w:pPr>
      <w:r w:rsidRPr="00A34C19">
        <w:rPr>
          <w:sz w:val="10"/>
        </w:rPr>
        <w:t>Das Risiko einer bakteriellen Kontamination lässt sich nicht mit letzter Sicherheit ausschließen.</w:t>
      </w:r>
    </w:p>
    <w:p w14:paraId="43E26FF2" w14:textId="77777777" w:rsidR="005366D0" w:rsidRPr="00A34C19" w:rsidRDefault="005366D0" w:rsidP="005366D0">
      <w:pPr>
        <w:numPr>
          <w:ilvl w:val="0"/>
          <w:numId w:val="6"/>
        </w:numPr>
        <w:ind w:left="142" w:hanging="142"/>
        <w:contextualSpacing/>
        <w:jc w:val="both"/>
        <w:rPr>
          <w:sz w:val="10"/>
        </w:rPr>
      </w:pPr>
      <w:r w:rsidRPr="00A34C19">
        <w:rPr>
          <w:sz w:val="10"/>
        </w:rPr>
        <w:t>Bei der Anwendung von aus menschlichem Blut hergestellten Arzneimitteln ist die Übertragung von Infektionskrankheiten durch Übertragung von Erregern - auch bislang unbekannter Natur - nicht völlig auszuschließen</w:t>
      </w:r>
      <w:r>
        <w:rPr>
          <w:sz w:val="10"/>
        </w:rPr>
        <w:t>. Dies gilt z.B. für Hepatitisviren</w:t>
      </w:r>
      <w:r w:rsidRPr="00A34C19">
        <w:rPr>
          <w:sz w:val="10"/>
        </w:rPr>
        <w:t>, seltener für</w:t>
      </w:r>
      <w:r>
        <w:rPr>
          <w:sz w:val="10"/>
        </w:rPr>
        <w:t xml:space="preserve"> HIV. Eine Übertragung von Parasiten wie z. B. Malariaerregern ist grundsätzlich möglich.</w:t>
      </w:r>
    </w:p>
    <w:p w14:paraId="43E26FF3" w14:textId="77777777" w:rsidR="005366D0" w:rsidRPr="00A34C19" w:rsidRDefault="005366D0" w:rsidP="005366D0">
      <w:pPr>
        <w:numPr>
          <w:ilvl w:val="0"/>
          <w:numId w:val="6"/>
        </w:numPr>
        <w:ind w:left="142" w:hanging="142"/>
        <w:contextualSpacing/>
        <w:jc w:val="both"/>
        <w:rPr>
          <w:sz w:val="10"/>
        </w:rPr>
      </w:pPr>
      <w:r w:rsidRPr="00A34C19">
        <w:rPr>
          <w:sz w:val="10"/>
        </w:rPr>
        <w:t>Im Vereinigten Königreich Großbritannien und Nordirland wurde über Einzelfälle berichtet, in denen bei Empfängern von Transfusionen, deren Spender später an der varianten Creutzfeldt-Jakob Krankheit (vCJK) erkrankten, ebenfalls der "Erreger" (so genannte Prionen) nachgewiesen wurde. Bei der vCJK handelt es sich um eine in Deutschland bislang nicht beobachtete Erkrankung, die durch den Verzehr von bestimmten Nahrungsmitteln aus BSE-kranken Rindern erworben werden kann.</w:t>
      </w:r>
    </w:p>
    <w:p w14:paraId="43E26FF4" w14:textId="77777777" w:rsidR="00D934A2" w:rsidRPr="005A2BA6" w:rsidRDefault="00D934A2" w:rsidP="00D934A2">
      <w:pPr>
        <w:ind w:left="142"/>
        <w:jc w:val="both"/>
        <w:rPr>
          <w:sz w:val="10"/>
        </w:rPr>
      </w:pPr>
    </w:p>
    <w:p w14:paraId="43E26FF5" w14:textId="77777777" w:rsidR="008A1D03" w:rsidRPr="00EB0124" w:rsidRDefault="008A1D03" w:rsidP="008A1D03">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14:paraId="43E26FF6" w14:textId="0CA65BA2" w:rsidR="005366D0" w:rsidRDefault="005366D0" w:rsidP="005366D0">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w:t>
      </w:r>
      <w:r>
        <w:rPr>
          <w:sz w:val="10"/>
          <w:szCs w:val="10"/>
        </w:rPr>
        <w:t>5 Langen, Telefon +49 610377-3116, Telefax: +49 610377-1268</w:t>
      </w:r>
      <w:r w:rsidRPr="00B73431">
        <w:rPr>
          <w:sz w:val="10"/>
          <w:szCs w:val="10"/>
        </w:rPr>
        <w:t xml:space="preserve">, Webseite: </w:t>
      </w:r>
      <w:hyperlink r:id="rId7" w:history="1">
        <w:r w:rsidRPr="00B73431">
          <w:rPr>
            <w:rStyle w:val="Hyperlink"/>
            <w:sz w:val="10"/>
            <w:szCs w:val="10"/>
          </w:rPr>
          <w:t>www.pei.de</w:t>
        </w:r>
      </w:hyperlink>
      <w:r w:rsidRPr="00B73431">
        <w:rPr>
          <w:sz w:val="10"/>
          <w:szCs w:val="10"/>
        </w:rPr>
        <w:t xml:space="preserve"> </w:t>
      </w:r>
      <w:r>
        <w:rPr>
          <w:sz w:val="10"/>
          <w:szCs w:val="10"/>
        </w:rPr>
        <w:t xml:space="preserve">bzw. </w:t>
      </w:r>
      <w:hyperlink r:id="rId8" w:history="1">
        <w:r w:rsidRPr="001A6D00">
          <w:rPr>
            <w:rStyle w:val="Hyperlink"/>
            <w:sz w:val="10"/>
            <w:szCs w:val="10"/>
          </w:rPr>
          <w:t>www.pei.de/haemovigilanz-formulare</w:t>
        </w:r>
      </w:hyperlink>
      <w:r>
        <w:rPr>
          <w:sz w:val="10"/>
          <w:szCs w:val="10"/>
        </w:rPr>
        <w:t xml:space="preserve">, E-Mail </w:t>
      </w:r>
      <w:hyperlink r:id="rId9" w:history="1">
        <w:r w:rsidR="003730EC" w:rsidRPr="00D87C09">
          <w:rPr>
            <w:rStyle w:val="Hyperlink"/>
            <w:sz w:val="10"/>
            <w:szCs w:val="10"/>
          </w:rPr>
          <w:t>biovigilance@pei.de</w:t>
        </w:r>
      </w:hyperlink>
      <w:r>
        <w:rPr>
          <w:sz w:val="10"/>
          <w:szCs w:val="10"/>
        </w:rPr>
        <w:t xml:space="preserve"> </w:t>
      </w:r>
      <w:r w:rsidRPr="00B73431">
        <w:rPr>
          <w:sz w:val="10"/>
          <w:szCs w:val="10"/>
        </w:rPr>
        <w:t>anzuzeigen.</w:t>
      </w:r>
    </w:p>
    <w:p w14:paraId="43E26FF7" w14:textId="77777777" w:rsidR="00BF0BA3" w:rsidRPr="005366D0" w:rsidRDefault="008A1D03" w:rsidP="005366D0">
      <w:p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14:paraId="43E26FF8" w14:textId="77777777" w:rsidR="00010EDF" w:rsidRPr="005A2BA6" w:rsidRDefault="00010EDF" w:rsidP="00A11386">
      <w:pPr>
        <w:jc w:val="both"/>
        <w:rPr>
          <w:sz w:val="10"/>
        </w:rPr>
      </w:pPr>
    </w:p>
    <w:p w14:paraId="43E26FF9" w14:textId="77777777" w:rsidR="00BF0BA3" w:rsidRPr="005A2BA6" w:rsidRDefault="00BF0BA3" w:rsidP="00A11386">
      <w:pPr>
        <w:jc w:val="both"/>
        <w:rPr>
          <w:b/>
          <w:sz w:val="10"/>
        </w:rPr>
      </w:pPr>
      <w:r w:rsidRPr="005A2BA6">
        <w:rPr>
          <w:b/>
          <w:sz w:val="10"/>
        </w:rPr>
        <w:t>6. Pharmakologische Eigenschaften</w:t>
      </w:r>
    </w:p>
    <w:p w14:paraId="43E26FFA" w14:textId="77777777" w:rsidR="00BF0BA3" w:rsidRPr="005A2BA6" w:rsidRDefault="0059060C" w:rsidP="00A11386">
      <w:pPr>
        <w:jc w:val="both"/>
        <w:rPr>
          <w:sz w:val="10"/>
        </w:rPr>
      </w:pPr>
      <w:r>
        <w:rPr>
          <w:sz w:val="10"/>
        </w:rPr>
        <w:t>Das Plasma einer Einzelplasmas</w:t>
      </w:r>
      <w:r w:rsidR="00BF0BA3" w:rsidRPr="005A2BA6">
        <w:rPr>
          <w:sz w:val="10"/>
        </w:rPr>
        <w:t xml:space="preserve">pende in </w:t>
      </w:r>
      <w:r>
        <w:rPr>
          <w:sz w:val="10"/>
        </w:rPr>
        <w:t>Natriumcitrat</w:t>
      </w:r>
      <w:r w:rsidR="00BF0BA3" w:rsidRPr="005A2BA6">
        <w:rPr>
          <w:sz w:val="10"/>
        </w:rPr>
        <w:t>lösung enthält neben den Gerinnungs- und Fibrinolyseproenzymen auch deren Inhibitoren. Die Proteinkonzentration ist abhängig vom Eiweißspiegel des einzelnen Blutspenders, deren Grenzwert für die Plasmapherese mit mindestens 60 g/l im Serum des Spenders festgelegt ist. Die Aktivität der im aufgetauten Plasma gemessenen Enzyme und Inhibitoren unterliegt individuellen Schwankungen und muss mindestens 70</w:t>
      </w:r>
      <w:r w:rsidR="005366D0">
        <w:rPr>
          <w:sz w:val="10"/>
        </w:rPr>
        <w:t xml:space="preserve"> </w:t>
      </w:r>
      <w:r w:rsidR="00BF0BA3" w:rsidRPr="005A2BA6">
        <w:rPr>
          <w:sz w:val="10"/>
        </w:rPr>
        <w:t>% ihrer ursprünglichen Aktivität betragen.</w:t>
      </w:r>
      <w:r>
        <w:rPr>
          <w:sz w:val="10"/>
        </w:rPr>
        <w:t xml:space="preserve"> </w:t>
      </w:r>
      <w:r w:rsidR="000D22EE">
        <w:rPr>
          <w:sz w:val="10"/>
        </w:rPr>
        <w:t>Gefrorenes Frischplasma enthält weder körpereigene Substanzen in unphysiologischer Konzentration noch körperfremde Stoffe</w:t>
      </w:r>
    </w:p>
    <w:p w14:paraId="43E26FFB" w14:textId="77777777" w:rsidR="00A74FE1" w:rsidRPr="005A2BA6" w:rsidRDefault="00A74FE1" w:rsidP="00A11386">
      <w:pPr>
        <w:jc w:val="both"/>
        <w:rPr>
          <w:sz w:val="10"/>
        </w:rPr>
      </w:pPr>
    </w:p>
    <w:p w14:paraId="43E26FFC" w14:textId="77777777" w:rsidR="00BF0BA3" w:rsidRDefault="00BF0BA3" w:rsidP="00A11386">
      <w:pPr>
        <w:jc w:val="both"/>
        <w:rPr>
          <w:b/>
          <w:sz w:val="10"/>
        </w:rPr>
      </w:pPr>
      <w:r w:rsidRPr="005A2BA6">
        <w:rPr>
          <w:b/>
          <w:sz w:val="10"/>
        </w:rPr>
        <w:t>7. Weitere Hinweise</w:t>
      </w:r>
    </w:p>
    <w:tbl>
      <w:tblPr>
        <w:tblW w:w="0" w:type="auto"/>
        <w:tblLook w:val="04A0" w:firstRow="1" w:lastRow="0" w:firstColumn="1" w:lastColumn="0" w:noHBand="0" w:noVBand="1"/>
      </w:tblPr>
      <w:tblGrid>
        <w:gridCol w:w="3883"/>
        <w:gridCol w:w="3880"/>
      </w:tblGrid>
      <w:tr w:rsidR="00135E64" w:rsidRPr="00B77AAB" w14:paraId="43E27033" w14:textId="77777777" w:rsidTr="00B77AAB">
        <w:tc>
          <w:tcPr>
            <w:tcW w:w="3883" w:type="dxa"/>
            <w:shd w:val="clear" w:color="auto" w:fill="auto"/>
          </w:tcPr>
          <w:p w14:paraId="43E26FFD" w14:textId="77777777" w:rsidR="00135E64" w:rsidRPr="00B77AAB" w:rsidRDefault="00135E64" w:rsidP="00B77AAB">
            <w:pPr>
              <w:jc w:val="both"/>
              <w:rPr>
                <w:sz w:val="10"/>
              </w:rPr>
            </w:pPr>
            <w:r w:rsidRPr="00B77AAB">
              <w:rPr>
                <w:sz w:val="10"/>
              </w:rPr>
              <w:t>a) Angaben zur Aufbewahrung und Haltbarkeit</w:t>
            </w:r>
          </w:p>
          <w:p w14:paraId="43E26FFE" w14:textId="4EA8B11C" w:rsidR="00135E64" w:rsidRPr="00B77AAB" w:rsidRDefault="005366D0" w:rsidP="00B77AAB">
            <w:pPr>
              <w:jc w:val="both"/>
              <w:rPr>
                <w:sz w:val="10"/>
              </w:rPr>
            </w:pPr>
            <w:r>
              <w:rPr>
                <w:sz w:val="10"/>
              </w:rPr>
              <w:t xml:space="preserve">- </w:t>
            </w:r>
            <w:r w:rsidR="000258ED">
              <w:rPr>
                <w:sz w:val="10"/>
              </w:rPr>
              <w:t>„</w:t>
            </w:r>
            <w:r w:rsidR="00135E64" w:rsidRPr="00B77AAB">
              <w:rPr>
                <w:sz w:val="10"/>
              </w:rPr>
              <w:t>Gefrorenes Frischplasma (Aphere</w:t>
            </w:r>
            <w:r w:rsidR="000258ED">
              <w:rPr>
                <w:sz w:val="10"/>
              </w:rPr>
              <w:t xml:space="preserve">se) HRO/Uni" ist </w:t>
            </w:r>
            <w:r w:rsidR="00135E64" w:rsidRPr="00B77AAB">
              <w:rPr>
                <w:sz w:val="10"/>
              </w:rPr>
              <w:t>24 Monate</w:t>
            </w:r>
            <w:r w:rsidR="00255AE2">
              <w:rPr>
                <w:sz w:val="10"/>
              </w:rPr>
              <w:t xml:space="preserve"> bei </w:t>
            </w:r>
            <w:r>
              <w:rPr>
                <w:sz w:val="10"/>
              </w:rPr>
              <w:t xml:space="preserve">unter </w:t>
            </w:r>
            <w:r w:rsidR="00617E7A">
              <w:rPr>
                <w:sz w:val="10"/>
              </w:rPr>
              <w:t>-</w:t>
            </w:r>
            <w:r>
              <w:rPr>
                <w:sz w:val="10"/>
              </w:rPr>
              <w:t>27 °C</w:t>
            </w:r>
            <w:r w:rsidR="00255AE2">
              <w:rPr>
                <w:sz w:val="10"/>
              </w:rPr>
              <w:t xml:space="preserve"> bis zu dem auf dem Etikett angegebenen Verfallsdatum haltbar </w:t>
            </w:r>
            <w:r w:rsidR="00135E64" w:rsidRPr="00B77AAB">
              <w:rPr>
                <w:sz w:val="10"/>
              </w:rPr>
              <w:t>(Kühlkette beachten).</w:t>
            </w:r>
          </w:p>
          <w:p w14:paraId="43E26FFF" w14:textId="77777777" w:rsidR="00135E64" w:rsidRPr="00B77AAB" w:rsidRDefault="00135E64" w:rsidP="00B77AAB">
            <w:pPr>
              <w:jc w:val="both"/>
              <w:rPr>
                <w:sz w:val="10"/>
              </w:rPr>
            </w:pPr>
            <w:r w:rsidRPr="00B77AAB">
              <w:rPr>
                <w:sz w:val="10"/>
              </w:rPr>
              <w:t>- Plasma darf nach Ablauf des Verfalldatums nicht mehr angewendet werden.</w:t>
            </w:r>
          </w:p>
          <w:p w14:paraId="43E27000" w14:textId="77777777" w:rsidR="00135E64" w:rsidRPr="00B77AAB" w:rsidRDefault="00135E64" w:rsidP="00B77AAB">
            <w:pPr>
              <w:ind w:left="84" w:hanging="84"/>
              <w:jc w:val="both"/>
              <w:rPr>
                <w:sz w:val="10"/>
              </w:rPr>
            </w:pPr>
            <w:r w:rsidRPr="00B77AAB">
              <w:rPr>
                <w:sz w:val="10"/>
              </w:rPr>
              <w:t>- Gefrorenes Plasma muss unmittelbar vor der Infusion bei Temperaturen nicht über 37</w:t>
            </w:r>
            <w:r w:rsidR="005366D0">
              <w:rPr>
                <w:sz w:val="10"/>
              </w:rPr>
              <w:t xml:space="preserve"> </w:t>
            </w:r>
            <w:r w:rsidRPr="00B77AAB">
              <w:rPr>
                <w:sz w:val="10"/>
              </w:rPr>
              <w:t xml:space="preserve">°C aufgetaut werden. Alle Proteinniederschläge (Kryoproteine) müssen gelöst sein, deshalb ist während des Auftauvorgangs auf gute Durchmischung des Beutelinhaltes zu achten, Schütteln ist zu vermeiden. </w:t>
            </w:r>
          </w:p>
          <w:p w14:paraId="43E27001" w14:textId="77777777" w:rsidR="00135E64" w:rsidRPr="00B77AAB" w:rsidRDefault="00135E64" w:rsidP="00B77AAB">
            <w:pPr>
              <w:jc w:val="both"/>
              <w:rPr>
                <w:sz w:val="10"/>
              </w:rPr>
            </w:pPr>
            <w:r w:rsidRPr="00B77AAB">
              <w:rPr>
                <w:sz w:val="10"/>
              </w:rPr>
              <w:t>- Zum Auftauen der Plasmen dürfen nur für diesen Zweck geeignete Geräte eingesetzt werden.</w:t>
            </w:r>
          </w:p>
          <w:p w14:paraId="43E27002" w14:textId="77777777" w:rsidR="00135E64" w:rsidRPr="00B77AAB" w:rsidRDefault="00135E64" w:rsidP="00B77AAB">
            <w:pPr>
              <w:jc w:val="both"/>
              <w:rPr>
                <w:sz w:val="10"/>
              </w:rPr>
            </w:pPr>
            <w:r w:rsidRPr="00B77AAB">
              <w:rPr>
                <w:sz w:val="10"/>
              </w:rPr>
              <w:t xml:space="preserve">- Das Risiko der bakteriellen Kontamination des GFP beim Auftauen muss vermieden werden. Der tiefgefrorene Beutel ist zerbrechlich. </w:t>
            </w:r>
          </w:p>
          <w:p w14:paraId="43E27003" w14:textId="77777777" w:rsidR="00135E64" w:rsidRPr="00B77AAB" w:rsidRDefault="00135E64" w:rsidP="00B77AAB">
            <w:pPr>
              <w:jc w:val="both"/>
              <w:rPr>
                <w:sz w:val="10"/>
              </w:rPr>
            </w:pPr>
            <w:r w:rsidRPr="00B77AAB">
              <w:rPr>
                <w:sz w:val="10"/>
              </w:rPr>
              <w:t>- Ein durch das Transfusionsbesteck geöffneter Plasmabeutel muss unverzüglich, spätestens jedoch innerhalb von 6 Stunden transfundiert werden.</w:t>
            </w:r>
          </w:p>
          <w:p w14:paraId="43E27004" w14:textId="77777777" w:rsidR="00135E64" w:rsidRPr="00B77AAB" w:rsidRDefault="00135E64" w:rsidP="00B77AAB">
            <w:pPr>
              <w:jc w:val="both"/>
              <w:rPr>
                <w:sz w:val="10"/>
              </w:rPr>
            </w:pPr>
            <w:r w:rsidRPr="00B77AAB">
              <w:rPr>
                <w:sz w:val="10"/>
              </w:rPr>
              <w:t>- Aufgetautes Plasma darf nicht wieder für Transfusionszwecke eingefroren werden.</w:t>
            </w:r>
          </w:p>
          <w:p w14:paraId="43E27005" w14:textId="77777777" w:rsidR="0038185E" w:rsidRDefault="0038185E" w:rsidP="00B77AAB">
            <w:pPr>
              <w:jc w:val="both"/>
              <w:rPr>
                <w:sz w:val="10"/>
              </w:rPr>
            </w:pPr>
          </w:p>
          <w:p w14:paraId="43E27006" w14:textId="77777777" w:rsidR="00770E2A" w:rsidRPr="00B77AAB" w:rsidRDefault="00770E2A" w:rsidP="00B77AAB">
            <w:pPr>
              <w:jc w:val="both"/>
              <w:rPr>
                <w:sz w:val="10"/>
              </w:rPr>
            </w:pPr>
            <w:r w:rsidRPr="00B77AAB">
              <w:rPr>
                <w:sz w:val="10"/>
              </w:rPr>
              <w:t>b) Optische Prüfung</w:t>
            </w:r>
          </w:p>
          <w:p w14:paraId="43E27007" w14:textId="77777777" w:rsidR="00770E2A" w:rsidRPr="00B77AAB" w:rsidRDefault="00770E2A" w:rsidP="00B77AAB">
            <w:pPr>
              <w:jc w:val="both"/>
              <w:rPr>
                <w:sz w:val="10"/>
              </w:rPr>
            </w:pPr>
            <w:r w:rsidRPr="00B77AAB">
              <w:rPr>
                <w:sz w:val="10"/>
              </w:rPr>
              <w:t>Unmittelbar vor der Transfusion muss jeder Plasmabeutel einer optischen Qualitätsprüfung unterzogen werden. Der Inhalt beschädigter Beutel (z.</w:t>
            </w:r>
            <w:r w:rsidR="005366D0">
              <w:rPr>
                <w:sz w:val="10"/>
              </w:rPr>
              <w:t xml:space="preserve"> </w:t>
            </w:r>
            <w:r w:rsidRPr="00B77AAB">
              <w:rPr>
                <w:sz w:val="10"/>
              </w:rPr>
              <w:t xml:space="preserve">B. Risse in der Folie) darf auf keinen Fall zur Transfusion verwendet werden. </w:t>
            </w:r>
          </w:p>
          <w:p w14:paraId="43E27008" w14:textId="77777777" w:rsidR="0038185E" w:rsidRDefault="0038185E" w:rsidP="00770E2A">
            <w:pPr>
              <w:rPr>
                <w:sz w:val="10"/>
              </w:rPr>
            </w:pPr>
          </w:p>
          <w:p w14:paraId="43E27009" w14:textId="77777777" w:rsidR="00770E2A" w:rsidRPr="00B77AAB" w:rsidRDefault="00770E2A" w:rsidP="00770E2A">
            <w:pPr>
              <w:rPr>
                <w:sz w:val="10"/>
              </w:rPr>
            </w:pPr>
            <w:r w:rsidRPr="00B77AAB">
              <w:rPr>
                <w:sz w:val="10"/>
              </w:rPr>
              <w:t>c) Zusammensetzung des Fertigarzneimittels</w:t>
            </w:r>
          </w:p>
          <w:p w14:paraId="43E2700A" w14:textId="77777777" w:rsidR="00770E2A" w:rsidRPr="00B77AAB" w:rsidRDefault="00770E2A" w:rsidP="00770E2A">
            <w:pPr>
              <w:rPr>
                <w:sz w:val="10"/>
              </w:rPr>
            </w:pPr>
            <w:r w:rsidRPr="00B77AAB">
              <w:rPr>
                <w:sz w:val="10"/>
              </w:rPr>
              <w:t>Wirkstoffe (qualitativ und quantitativ)</w:t>
            </w:r>
          </w:p>
          <w:p w14:paraId="43E2700B" w14:textId="77777777" w:rsidR="00770E2A" w:rsidRPr="00B77AAB" w:rsidRDefault="00770E2A" w:rsidP="00770E2A">
            <w:pPr>
              <w:rPr>
                <w:sz w:val="10"/>
                <w:u w:val="single"/>
              </w:rPr>
            </w:pPr>
            <w:r w:rsidRPr="00B77AAB">
              <w:rPr>
                <w:sz w:val="10"/>
                <w:u w:val="single"/>
              </w:rPr>
              <w:t>arzneilich wirksame Bestandteile:</w:t>
            </w:r>
          </w:p>
          <w:p w14:paraId="43E2700C" w14:textId="77777777" w:rsidR="00770E2A" w:rsidRPr="00B77AAB" w:rsidRDefault="00770E2A" w:rsidP="00770E2A">
            <w:pPr>
              <w:rPr>
                <w:sz w:val="10"/>
              </w:rPr>
            </w:pPr>
            <w:r w:rsidRPr="00B77AAB">
              <w:rPr>
                <w:sz w:val="10"/>
              </w:rPr>
              <w:t>1 ml enthält</w:t>
            </w:r>
          </w:p>
          <w:p w14:paraId="43E2700D" w14:textId="77777777" w:rsidR="00770E2A" w:rsidRPr="00B77AAB" w:rsidRDefault="00770E2A" w:rsidP="00770E2A">
            <w:pPr>
              <w:rPr>
                <w:sz w:val="10"/>
              </w:rPr>
            </w:pPr>
            <w:r w:rsidRPr="00B77AAB">
              <w:rPr>
                <w:sz w:val="10"/>
              </w:rPr>
              <w:t>0,85 bis 0,90 ml gerinnungsaktives Humanplasma aus einer Apheresespende</w:t>
            </w:r>
          </w:p>
          <w:p w14:paraId="43E2700E" w14:textId="77777777" w:rsidR="00770E2A" w:rsidRPr="00B77AAB" w:rsidRDefault="00770E2A" w:rsidP="00770E2A">
            <w:pPr>
              <w:rPr>
                <w:sz w:val="10"/>
                <w:u w:val="single"/>
              </w:rPr>
            </w:pPr>
            <w:r w:rsidRPr="00B77AAB">
              <w:rPr>
                <w:sz w:val="10"/>
                <w:u w:val="single"/>
              </w:rPr>
              <w:t>Sonstige Bestandteile:</w:t>
            </w:r>
          </w:p>
          <w:p w14:paraId="43E2700F" w14:textId="77777777" w:rsidR="00770E2A" w:rsidRPr="00F77BB0" w:rsidRDefault="00770E2A" w:rsidP="00770E2A">
            <w:pPr>
              <w:rPr>
                <w:sz w:val="10"/>
              </w:rPr>
            </w:pPr>
            <w:r w:rsidRPr="00F77BB0">
              <w:rPr>
                <w:sz w:val="10"/>
              </w:rPr>
              <w:t>ACD-A Stabilisator</w:t>
            </w:r>
            <w:r w:rsidRPr="00F77BB0">
              <w:rPr>
                <w:sz w:val="10"/>
              </w:rPr>
              <w:tab/>
              <w:t>0,10-0,15</w:t>
            </w:r>
            <w:r w:rsidR="005366D0">
              <w:rPr>
                <w:sz w:val="10"/>
              </w:rPr>
              <w:t xml:space="preserve"> </w:t>
            </w:r>
            <w:r w:rsidRPr="00F77BB0">
              <w:rPr>
                <w:sz w:val="10"/>
              </w:rPr>
              <w:t>ml/ml</w:t>
            </w:r>
          </w:p>
          <w:p w14:paraId="43E27010" w14:textId="1764E92D" w:rsidR="00770E2A" w:rsidRPr="00B77AAB" w:rsidRDefault="002E5982" w:rsidP="00770E2A">
            <w:pPr>
              <w:rPr>
                <w:sz w:val="10"/>
              </w:rPr>
            </w:pPr>
            <w:r>
              <w:rPr>
                <w:sz w:val="10"/>
              </w:rPr>
              <w:t>1000 ml ACD-A-</w:t>
            </w:r>
            <w:r w:rsidR="00770E2A" w:rsidRPr="00B77AAB">
              <w:rPr>
                <w:sz w:val="10"/>
              </w:rPr>
              <w:t>Stabilisator enthalten:</w:t>
            </w:r>
          </w:p>
          <w:p w14:paraId="43E27011" w14:textId="77777777" w:rsidR="00770E2A" w:rsidRPr="00F77BB0" w:rsidRDefault="00770E2A" w:rsidP="00770E2A">
            <w:pPr>
              <w:rPr>
                <w:sz w:val="10"/>
              </w:rPr>
            </w:pPr>
            <w:r w:rsidRPr="00F77BB0">
              <w:rPr>
                <w:sz w:val="10"/>
              </w:rPr>
              <w:t>Citronensäure</w:t>
            </w:r>
            <w:r w:rsidRPr="00F77BB0">
              <w:rPr>
                <w:sz w:val="10"/>
              </w:rPr>
              <w:tab/>
            </w:r>
            <w:r w:rsidRPr="00F77BB0">
              <w:rPr>
                <w:sz w:val="10"/>
              </w:rPr>
              <w:tab/>
              <w:t xml:space="preserve">  8,0</w:t>
            </w:r>
            <w:r w:rsidR="005366D0">
              <w:rPr>
                <w:sz w:val="10"/>
              </w:rPr>
              <w:t xml:space="preserve"> </w:t>
            </w:r>
            <w:r w:rsidRPr="00F77BB0">
              <w:rPr>
                <w:sz w:val="10"/>
              </w:rPr>
              <w:t>g</w:t>
            </w:r>
          </w:p>
          <w:p w14:paraId="43E27012" w14:textId="77777777" w:rsidR="00770E2A" w:rsidRPr="00F77BB0" w:rsidRDefault="00770E2A" w:rsidP="00770E2A">
            <w:pPr>
              <w:rPr>
                <w:sz w:val="10"/>
              </w:rPr>
            </w:pPr>
            <w:r w:rsidRPr="00F77BB0">
              <w:rPr>
                <w:sz w:val="10"/>
              </w:rPr>
              <w:t>Natriumcitrat  2H</w:t>
            </w:r>
            <w:r w:rsidRPr="00F77BB0">
              <w:rPr>
                <w:sz w:val="10"/>
                <w:szCs w:val="10"/>
                <w:vertAlign w:val="subscript"/>
              </w:rPr>
              <w:t>2</w:t>
            </w:r>
            <w:r w:rsidRPr="00F77BB0">
              <w:rPr>
                <w:sz w:val="10"/>
              </w:rPr>
              <w:t>0</w:t>
            </w:r>
            <w:r w:rsidRPr="00F77BB0">
              <w:rPr>
                <w:sz w:val="10"/>
              </w:rPr>
              <w:tab/>
              <w:t>22,0</w:t>
            </w:r>
            <w:r w:rsidR="005366D0">
              <w:rPr>
                <w:sz w:val="10"/>
              </w:rPr>
              <w:t xml:space="preserve"> </w:t>
            </w:r>
            <w:r w:rsidRPr="00F77BB0">
              <w:rPr>
                <w:sz w:val="10"/>
              </w:rPr>
              <w:t>g</w:t>
            </w:r>
          </w:p>
          <w:p w14:paraId="6A9A29E5" w14:textId="77777777" w:rsidR="00135E64" w:rsidRDefault="00770E2A" w:rsidP="009B3486">
            <w:pPr>
              <w:rPr>
                <w:sz w:val="10"/>
              </w:rPr>
            </w:pPr>
            <w:r w:rsidRPr="00B77AAB">
              <w:rPr>
                <w:sz w:val="10"/>
              </w:rPr>
              <w:t>Glucose  H</w:t>
            </w:r>
            <w:r w:rsidRPr="00B77AAB">
              <w:rPr>
                <w:sz w:val="10"/>
                <w:szCs w:val="10"/>
                <w:vertAlign w:val="subscript"/>
              </w:rPr>
              <w:t>2</w:t>
            </w:r>
            <w:r w:rsidRPr="00B77AAB">
              <w:rPr>
                <w:sz w:val="10"/>
              </w:rPr>
              <w:t>0</w:t>
            </w:r>
            <w:r w:rsidRPr="00B77AAB">
              <w:rPr>
                <w:sz w:val="10"/>
              </w:rPr>
              <w:tab/>
            </w:r>
            <w:r w:rsidRPr="00B77AAB">
              <w:rPr>
                <w:sz w:val="10"/>
              </w:rPr>
              <w:tab/>
              <w:t>24,5</w:t>
            </w:r>
            <w:r w:rsidR="005366D0">
              <w:rPr>
                <w:sz w:val="10"/>
              </w:rPr>
              <w:t xml:space="preserve"> </w:t>
            </w:r>
            <w:r w:rsidR="002E75EC">
              <w:rPr>
                <w:sz w:val="10"/>
              </w:rPr>
              <w:t>g</w:t>
            </w:r>
          </w:p>
          <w:p w14:paraId="4CDA69C5" w14:textId="352100DE" w:rsidR="002E5982" w:rsidRDefault="002E5982" w:rsidP="009B3486">
            <w:pPr>
              <w:rPr>
                <w:sz w:val="10"/>
              </w:rPr>
            </w:pPr>
            <w:r>
              <w:rPr>
                <w:sz w:val="10"/>
              </w:rPr>
              <w:t>oder</w:t>
            </w:r>
          </w:p>
          <w:p w14:paraId="545715C4" w14:textId="77777777" w:rsidR="002E5982" w:rsidRDefault="002E5982" w:rsidP="009B3486">
            <w:pPr>
              <w:rPr>
                <w:sz w:val="10"/>
              </w:rPr>
            </w:pPr>
            <w:r>
              <w:rPr>
                <w:sz w:val="10"/>
              </w:rPr>
              <w:t>Natriumcitrat-Stabilisator               0,10-0,15 ml/ml</w:t>
            </w:r>
          </w:p>
          <w:p w14:paraId="43E27013" w14:textId="2BDD0284" w:rsidR="002E5982" w:rsidRPr="002E75EC" w:rsidRDefault="003730EC" w:rsidP="002E5982">
            <w:pPr>
              <w:rPr>
                <w:sz w:val="10"/>
              </w:rPr>
            </w:pPr>
            <w:r>
              <w:rPr>
                <w:sz w:val="10"/>
              </w:rPr>
              <w:t>1000 ml Natriumcitrat-Stabilisator enthalten:</w:t>
            </w:r>
          </w:p>
        </w:tc>
        <w:tc>
          <w:tcPr>
            <w:tcW w:w="3880" w:type="dxa"/>
            <w:shd w:val="clear" w:color="auto" w:fill="auto"/>
          </w:tcPr>
          <w:p w14:paraId="2B418D85" w14:textId="5594033B" w:rsidR="002E5982" w:rsidRPr="002F3338" w:rsidRDefault="002E5982" w:rsidP="009B3486">
            <w:pPr>
              <w:rPr>
                <w:sz w:val="10"/>
                <w:lang w:val="it-IT"/>
              </w:rPr>
            </w:pPr>
            <w:r w:rsidRPr="002F3338">
              <w:rPr>
                <w:sz w:val="10"/>
                <w:lang w:val="it-IT"/>
              </w:rPr>
              <w:t>Natriumcitrat-Dihydrat                  40 g</w:t>
            </w:r>
          </w:p>
          <w:p w14:paraId="2A4CD829" w14:textId="25BF6C9D" w:rsidR="002E5982" w:rsidRPr="002F3338" w:rsidRDefault="003730EC" w:rsidP="009B3486">
            <w:pPr>
              <w:rPr>
                <w:sz w:val="10"/>
                <w:lang w:val="it-IT"/>
              </w:rPr>
            </w:pPr>
            <w:r w:rsidRPr="002F3338">
              <w:rPr>
                <w:sz w:val="10"/>
                <w:lang w:val="it-IT"/>
              </w:rPr>
              <w:t>(pH eingestellt mit Citronensäure)</w:t>
            </w:r>
          </w:p>
          <w:p w14:paraId="3BB6947C" w14:textId="77777777" w:rsidR="003730EC" w:rsidRPr="003730EC" w:rsidRDefault="003730EC" w:rsidP="009B3486">
            <w:pPr>
              <w:rPr>
                <w:color w:val="5B9BD5" w:themeColor="accent1"/>
                <w:sz w:val="10"/>
                <w:lang w:val="it-IT"/>
              </w:rPr>
            </w:pPr>
          </w:p>
          <w:p w14:paraId="43E27014" w14:textId="1EF2606C" w:rsidR="009B3486" w:rsidRPr="00B77AAB" w:rsidRDefault="009B3486" w:rsidP="009B3486">
            <w:pPr>
              <w:rPr>
                <w:sz w:val="10"/>
                <w:lang w:val="it-IT"/>
              </w:rPr>
            </w:pPr>
            <w:r w:rsidRPr="00B77AAB">
              <w:rPr>
                <w:sz w:val="10"/>
                <w:lang w:val="it-IT"/>
              </w:rPr>
              <w:t>Aqua injectabilia ad 1000</w:t>
            </w:r>
            <w:r w:rsidR="002E5982">
              <w:rPr>
                <w:sz w:val="10"/>
                <w:lang w:val="it-IT"/>
              </w:rPr>
              <w:t xml:space="preserve"> </w:t>
            </w:r>
            <w:r w:rsidRPr="00B77AAB">
              <w:rPr>
                <w:sz w:val="10"/>
                <w:lang w:val="it-IT"/>
              </w:rPr>
              <w:t>ml</w:t>
            </w:r>
          </w:p>
          <w:p w14:paraId="43E27015" w14:textId="77777777" w:rsidR="009B3486" w:rsidRPr="00B77AAB" w:rsidRDefault="009B3486" w:rsidP="009B3486">
            <w:pPr>
              <w:rPr>
                <w:sz w:val="10"/>
                <w:lang w:val="it-IT"/>
              </w:rPr>
            </w:pPr>
            <w:r w:rsidRPr="00B77AAB">
              <w:rPr>
                <w:sz w:val="10"/>
                <w:lang w:val="it-IT"/>
              </w:rPr>
              <w:t xml:space="preserve">Restzellzahl pro ml </w:t>
            </w:r>
          </w:p>
          <w:p w14:paraId="43E27016" w14:textId="77777777" w:rsidR="009B3486" w:rsidRPr="00F77BB0" w:rsidRDefault="009B3486" w:rsidP="009B3486">
            <w:pPr>
              <w:ind w:firstLine="708"/>
              <w:rPr>
                <w:sz w:val="10"/>
                <w:lang w:val="it-IT"/>
              </w:rPr>
            </w:pPr>
            <w:r w:rsidRPr="00F77BB0">
              <w:rPr>
                <w:sz w:val="10"/>
                <w:lang w:val="it-IT"/>
              </w:rPr>
              <w:t>&lt; 0,1x10</w:t>
            </w:r>
            <w:r w:rsidRPr="00F77BB0">
              <w:rPr>
                <w:sz w:val="10"/>
                <w:szCs w:val="10"/>
                <w:vertAlign w:val="superscript"/>
                <w:lang w:val="it-IT"/>
              </w:rPr>
              <w:t>6</w:t>
            </w:r>
            <w:r w:rsidRPr="00F77BB0">
              <w:rPr>
                <w:sz w:val="10"/>
                <w:lang w:val="it-IT"/>
              </w:rPr>
              <w:t xml:space="preserve"> Leukozyten</w:t>
            </w:r>
          </w:p>
          <w:p w14:paraId="43E27017" w14:textId="77777777" w:rsidR="009B3486" w:rsidRPr="00F77BB0" w:rsidRDefault="009B3486" w:rsidP="009B3486">
            <w:pPr>
              <w:ind w:firstLine="708"/>
              <w:rPr>
                <w:sz w:val="10"/>
                <w:lang w:val="it-IT"/>
              </w:rPr>
            </w:pPr>
            <w:r w:rsidRPr="00F77BB0">
              <w:rPr>
                <w:sz w:val="10"/>
                <w:lang w:val="it-IT"/>
              </w:rPr>
              <w:t>&lt;  50x10</w:t>
            </w:r>
            <w:r w:rsidRPr="00F77BB0">
              <w:rPr>
                <w:sz w:val="10"/>
                <w:szCs w:val="10"/>
                <w:vertAlign w:val="superscript"/>
                <w:lang w:val="it-IT"/>
              </w:rPr>
              <w:t>6</w:t>
            </w:r>
            <w:r w:rsidRPr="00F77BB0">
              <w:rPr>
                <w:sz w:val="10"/>
                <w:lang w:val="it-IT"/>
              </w:rPr>
              <w:t xml:space="preserve"> Thrombozyten</w:t>
            </w:r>
          </w:p>
          <w:p w14:paraId="43E27018" w14:textId="77777777" w:rsidR="009B3486" w:rsidRPr="00F77BB0" w:rsidRDefault="009B3486" w:rsidP="009B3486">
            <w:pPr>
              <w:ind w:firstLine="708"/>
              <w:rPr>
                <w:sz w:val="10"/>
                <w:lang w:val="it-IT"/>
              </w:rPr>
            </w:pPr>
            <w:r w:rsidRPr="00F77BB0">
              <w:rPr>
                <w:sz w:val="10"/>
                <w:lang w:val="it-IT"/>
              </w:rPr>
              <w:t>&lt;    6x10</w:t>
            </w:r>
            <w:r w:rsidRPr="00F77BB0">
              <w:rPr>
                <w:sz w:val="10"/>
                <w:szCs w:val="10"/>
                <w:vertAlign w:val="superscript"/>
                <w:lang w:val="it-IT"/>
              </w:rPr>
              <w:t>6</w:t>
            </w:r>
            <w:r w:rsidRPr="00F77BB0">
              <w:rPr>
                <w:sz w:val="10"/>
                <w:lang w:val="it-IT"/>
              </w:rPr>
              <w:t xml:space="preserve"> Erythrozyten</w:t>
            </w:r>
          </w:p>
          <w:p w14:paraId="43E27019" w14:textId="77777777" w:rsidR="009B3486" w:rsidRPr="00B77AAB" w:rsidRDefault="009B3486" w:rsidP="009B3486">
            <w:pPr>
              <w:rPr>
                <w:sz w:val="10"/>
              </w:rPr>
            </w:pPr>
            <w:r w:rsidRPr="00B77AAB">
              <w:rPr>
                <w:sz w:val="10"/>
              </w:rPr>
              <w:t>sonstige Bestandteile (qualitativ)</w:t>
            </w:r>
          </w:p>
          <w:p w14:paraId="43E2701A" w14:textId="77777777" w:rsidR="009B3486" w:rsidRPr="00B77AAB" w:rsidRDefault="009B3486" w:rsidP="009B3486">
            <w:pPr>
              <w:rPr>
                <w:sz w:val="10"/>
              </w:rPr>
            </w:pPr>
            <w:r w:rsidRPr="00B77AAB">
              <w:rPr>
                <w:sz w:val="10"/>
              </w:rPr>
              <w:t>entfällt</w:t>
            </w:r>
          </w:p>
          <w:p w14:paraId="43E2701B" w14:textId="77777777" w:rsidR="00DD2CC2" w:rsidRPr="00B77AAB" w:rsidRDefault="00DD2CC2" w:rsidP="00DD2CC2">
            <w:pPr>
              <w:rPr>
                <w:sz w:val="10"/>
              </w:rPr>
            </w:pPr>
            <w:r w:rsidRPr="00B77AAB">
              <w:rPr>
                <w:sz w:val="10"/>
              </w:rPr>
              <w:t>d) Darreichungsform und Inhalt, Behältnis</w:t>
            </w:r>
          </w:p>
          <w:p w14:paraId="43E2701C" w14:textId="77777777" w:rsidR="00DD2CC2" w:rsidRPr="00B77AAB" w:rsidRDefault="00DD2CC2" w:rsidP="00DD2CC2">
            <w:pPr>
              <w:rPr>
                <w:sz w:val="10"/>
              </w:rPr>
            </w:pPr>
            <w:r w:rsidRPr="00B77AAB">
              <w:rPr>
                <w:sz w:val="10"/>
              </w:rPr>
              <w:t>180 bis 240 ml Infusionslösung im Kunststoffbeutel mit CE-Zertifikat</w:t>
            </w:r>
          </w:p>
          <w:p w14:paraId="43E2701D" w14:textId="77777777" w:rsidR="0038185E" w:rsidRDefault="0038185E" w:rsidP="00DD2CC2">
            <w:pPr>
              <w:rPr>
                <w:sz w:val="10"/>
              </w:rPr>
            </w:pPr>
          </w:p>
          <w:p w14:paraId="43E2701E" w14:textId="77777777" w:rsidR="00DD2CC2" w:rsidRPr="00B77AAB" w:rsidRDefault="00DD2CC2" w:rsidP="00DD2CC2">
            <w:pPr>
              <w:rPr>
                <w:sz w:val="10"/>
              </w:rPr>
            </w:pPr>
            <w:r w:rsidRPr="00B77AAB">
              <w:rPr>
                <w:sz w:val="10"/>
              </w:rPr>
              <w:t>e) Angaben zum pharmazeutischen Unternehmer/Inhaber der Zulassung</w:t>
            </w:r>
          </w:p>
          <w:p w14:paraId="43E2701F" w14:textId="77777777" w:rsidR="00DD2CC2" w:rsidRPr="00B77AAB" w:rsidRDefault="00DD2CC2" w:rsidP="00DD2CC2">
            <w:pPr>
              <w:rPr>
                <w:sz w:val="10"/>
              </w:rPr>
            </w:pPr>
            <w:r w:rsidRPr="00B77AAB">
              <w:rPr>
                <w:sz w:val="10"/>
              </w:rPr>
              <w:t>Universitätsmedizin Rostock</w:t>
            </w:r>
          </w:p>
          <w:p w14:paraId="43E27020" w14:textId="77777777" w:rsidR="00DD2CC2" w:rsidRPr="00B77AAB" w:rsidRDefault="00DD2CC2" w:rsidP="00DD2CC2">
            <w:pPr>
              <w:rPr>
                <w:sz w:val="10"/>
              </w:rPr>
            </w:pPr>
            <w:r w:rsidRPr="00B77AAB">
              <w:rPr>
                <w:sz w:val="10"/>
              </w:rPr>
              <w:t>Teilkörperschaft der Universität Rostock</w:t>
            </w:r>
          </w:p>
          <w:p w14:paraId="43E27021" w14:textId="53276537" w:rsidR="00DD2CC2" w:rsidRPr="00B77AAB" w:rsidRDefault="001824B9" w:rsidP="00DD2CC2">
            <w:pPr>
              <w:rPr>
                <w:sz w:val="10"/>
              </w:rPr>
            </w:pPr>
            <w:r>
              <w:rPr>
                <w:sz w:val="10"/>
              </w:rPr>
              <w:t>Schillingallee 35</w:t>
            </w:r>
          </w:p>
          <w:p w14:paraId="43E27022" w14:textId="77777777" w:rsidR="00DD2CC2" w:rsidRPr="00B77AAB" w:rsidRDefault="00DD2CC2" w:rsidP="00DD2CC2">
            <w:pPr>
              <w:rPr>
                <w:sz w:val="10"/>
              </w:rPr>
            </w:pPr>
            <w:r w:rsidRPr="00B77AAB">
              <w:rPr>
                <w:sz w:val="10"/>
              </w:rPr>
              <w:t xml:space="preserve">18057 Rostock </w:t>
            </w:r>
          </w:p>
          <w:p w14:paraId="43E27023" w14:textId="77777777" w:rsidR="0038185E" w:rsidRDefault="0038185E" w:rsidP="00DD2CC2">
            <w:pPr>
              <w:rPr>
                <w:sz w:val="10"/>
              </w:rPr>
            </w:pPr>
          </w:p>
          <w:p w14:paraId="43E27024" w14:textId="77777777" w:rsidR="00DD2CC2" w:rsidRPr="00B77AAB" w:rsidRDefault="00DD2CC2" w:rsidP="00DD2CC2">
            <w:pPr>
              <w:rPr>
                <w:sz w:val="10"/>
              </w:rPr>
            </w:pPr>
            <w:r w:rsidRPr="00B77AAB">
              <w:rPr>
                <w:sz w:val="10"/>
              </w:rPr>
              <w:t>f) Angaben zum Hersteller, der das Fertigarzneimittel für das Inverkehrbringen freigegeben hat</w:t>
            </w:r>
          </w:p>
          <w:p w14:paraId="43E27025" w14:textId="77777777" w:rsidR="00DD2CC2" w:rsidRPr="00B77AAB" w:rsidRDefault="00DD2CC2" w:rsidP="00DD2CC2">
            <w:pPr>
              <w:rPr>
                <w:sz w:val="10"/>
              </w:rPr>
            </w:pPr>
            <w:r w:rsidRPr="00B77AAB">
              <w:rPr>
                <w:sz w:val="10"/>
              </w:rPr>
              <w:t>Institut für Transfusionsmedizin</w:t>
            </w:r>
          </w:p>
          <w:p w14:paraId="43E27026" w14:textId="77777777" w:rsidR="00135E64" w:rsidRPr="00B77AAB" w:rsidRDefault="004576EE" w:rsidP="00B77AAB">
            <w:pPr>
              <w:jc w:val="both"/>
              <w:rPr>
                <w:sz w:val="10"/>
                <w:szCs w:val="10"/>
              </w:rPr>
            </w:pPr>
            <w:r w:rsidRPr="00B77AAB">
              <w:rPr>
                <w:sz w:val="10"/>
                <w:szCs w:val="10"/>
              </w:rPr>
              <w:t xml:space="preserve">Universitätsmedizin Rostock </w:t>
            </w:r>
          </w:p>
          <w:p w14:paraId="43E27027" w14:textId="77777777" w:rsidR="004576EE" w:rsidRPr="00B77AAB" w:rsidRDefault="004576EE" w:rsidP="00B77AAB">
            <w:pPr>
              <w:jc w:val="both"/>
              <w:rPr>
                <w:sz w:val="10"/>
                <w:szCs w:val="10"/>
              </w:rPr>
            </w:pPr>
            <w:r w:rsidRPr="00B77AAB">
              <w:rPr>
                <w:sz w:val="10"/>
                <w:szCs w:val="10"/>
              </w:rPr>
              <w:t>Teilkörperschaft der Universität Rostock</w:t>
            </w:r>
          </w:p>
          <w:p w14:paraId="43E27028" w14:textId="77777777" w:rsidR="004576EE" w:rsidRPr="00B77AAB" w:rsidRDefault="005366D0" w:rsidP="004576EE">
            <w:pPr>
              <w:rPr>
                <w:sz w:val="10"/>
              </w:rPr>
            </w:pPr>
            <w:r>
              <w:rPr>
                <w:sz w:val="10"/>
              </w:rPr>
              <w:t>Schillingallee 36</w:t>
            </w:r>
          </w:p>
          <w:p w14:paraId="43E27029" w14:textId="77777777" w:rsidR="004576EE" w:rsidRPr="00B77AAB" w:rsidRDefault="004576EE" w:rsidP="004576EE">
            <w:pPr>
              <w:rPr>
                <w:sz w:val="10"/>
              </w:rPr>
            </w:pPr>
            <w:r w:rsidRPr="00B77AAB">
              <w:rPr>
                <w:sz w:val="10"/>
              </w:rPr>
              <w:t xml:space="preserve">18057 Rostock </w:t>
            </w:r>
          </w:p>
          <w:p w14:paraId="43E2702A" w14:textId="77777777" w:rsidR="0038185E" w:rsidRDefault="0038185E" w:rsidP="004576EE">
            <w:pPr>
              <w:rPr>
                <w:sz w:val="10"/>
              </w:rPr>
            </w:pPr>
          </w:p>
          <w:p w14:paraId="43E2702B" w14:textId="77777777" w:rsidR="004576EE" w:rsidRPr="00B77AAB" w:rsidRDefault="004576EE" w:rsidP="004576EE">
            <w:pPr>
              <w:rPr>
                <w:sz w:val="10"/>
              </w:rPr>
            </w:pPr>
            <w:r w:rsidRPr="00B77AAB">
              <w:rPr>
                <w:sz w:val="10"/>
              </w:rPr>
              <w:t>g) Zulassungsnummer</w:t>
            </w:r>
          </w:p>
          <w:p w14:paraId="43E2702C" w14:textId="77777777" w:rsidR="004576EE" w:rsidRPr="00B77AAB" w:rsidRDefault="004576EE" w:rsidP="004576EE">
            <w:pPr>
              <w:rPr>
                <w:sz w:val="10"/>
              </w:rPr>
            </w:pPr>
            <w:r w:rsidRPr="00B77AAB">
              <w:rPr>
                <w:sz w:val="10"/>
              </w:rPr>
              <w:t>PEI.H.02379.01.1</w:t>
            </w:r>
          </w:p>
          <w:p w14:paraId="43E2702D" w14:textId="77777777" w:rsidR="0038185E" w:rsidRDefault="0038185E" w:rsidP="004576EE">
            <w:pPr>
              <w:rPr>
                <w:sz w:val="10"/>
              </w:rPr>
            </w:pPr>
          </w:p>
          <w:p w14:paraId="43E2702E" w14:textId="77777777" w:rsidR="004576EE" w:rsidRPr="00B77AAB" w:rsidRDefault="004576EE" w:rsidP="004576EE">
            <w:pPr>
              <w:rPr>
                <w:sz w:val="10"/>
              </w:rPr>
            </w:pPr>
            <w:r w:rsidRPr="00B77AAB">
              <w:rPr>
                <w:sz w:val="10"/>
              </w:rPr>
              <w:t>h) Datum der Verlängerung der Zulassung</w:t>
            </w:r>
          </w:p>
          <w:p w14:paraId="43E2702F" w14:textId="77777777" w:rsidR="004576EE" w:rsidRPr="00B77AAB" w:rsidRDefault="004576EE" w:rsidP="004576EE">
            <w:pPr>
              <w:rPr>
                <w:sz w:val="10"/>
              </w:rPr>
            </w:pPr>
            <w:r w:rsidRPr="00B77AAB">
              <w:rPr>
                <w:sz w:val="10"/>
              </w:rPr>
              <w:t>21.03.2012</w:t>
            </w:r>
          </w:p>
          <w:p w14:paraId="43E27030" w14:textId="77777777" w:rsidR="0038185E" w:rsidRDefault="0038185E" w:rsidP="004576EE">
            <w:pPr>
              <w:rPr>
                <w:sz w:val="10"/>
              </w:rPr>
            </w:pPr>
          </w:p>
          <w:p w14:paraId="43E27031" w14:textId="77777777" w:rsidR="004576EE" w:rsidRPr="00B77AAB" w:rsidRDefault="004576EE" w:rsidP="004576EE">
            <w:pPr>
              <w:rPr>
                <w:sz w:val="10"/>
              </w:rPr>
            </w:pPr>
            <w:r w:rsidRPr="00B77AAB">
              <w:rPr>
                <w:sz w:val="10"/>
              </w:rPr>
              <w:t>i) Arzneimittelstatus</w:t>
            </w:r>
          </w:p>
          <w:p w14:paraId="43E27032" w14:textId="77777777" w:rsidR="004576EE" w:rsidRPr="002E75EC" w:rsidRDefault="002E75EC" w:rsidP="002E75EC">
            <w:pPr>
              <w:rPr>
                <w:sz w:val="10"/>
              </w:rPr>
            </w:pPr>
            <w:r>
              <w:rPr>
                <w:sz w:val="10"/>
              </w:rPr>
              <w:t>Verschreibungspflichtig</w:t>
            </w:r>
          </w:p>
        </w:tc>
      </w:tr>
    </w:tbl>
    <w:p w14:paraId="43E27034" w14:textId="77777777" w:rsidR="00135E64" w:rsidRPr="005A2BA6" w:rsidRDefault="00135E64" w:rsidP="00A11386">
      <w:pPr>
        <w:jc w:val="both"/>
        <w:rPr>
          <w:b/>
          <w:sz w:val="10"/>
        </w:rPr>
      </w:pPr>
    </w:p>
    <w:p w14:paraId="43E27035" w14:textId="77777777" w:rsidR="00BF0BA3" w:rsidRPr="005A2BA6" w:rsidRDefault="00BF0BA3">
      <w:pPr>
        <w:rPr>
          <w:b/>
          <w:sz w:val="10"/>
        </w:rPr>
      </w:pPr>
      <w:r w:rsidRPr="005A2BA6">
        <w:rPr>
          <w:b/>
          <w:sz w:val="10"/>
        </w:rPr>
        <w:t xml:space="preserve">8. Sonstige Hinweise </w:t>
      </w:r>
    </w:p>
    <w:p w14:paraId="43E27036" w14:textId="77777777" w:rsidR="00BF0BA3" w:rsidRPr="005A2BA6" w:rsidRDefault="00BF0BA3">
      <w:pPr>
        <w:rPr>
          <w:sz w:val="10"/>
        </w:rPr>
      </w:pPr>
      <w:r w:rsidRPr="005A2BA6">
        <w:rPr>
          <w:sz w:val="10"/>
          <w:u w:val="single"/>
        </w:rPr>
        <w:t>Maßnahmen zur Reduktion des Übertragungs</w:t>
      </w:r>
      <w:r w:rsidR="00ED7B95" w:rsidRPr="005A2BA6">
        <w:rPr>
          <w:sz w:val="10"/>
          <w:u w:val="single"/>
        </w:rPr>
        <w:t>risikos</w:t>
      </w:r>
      <w:r w:rsidR="00ED7B95" w:rsidRPr="005A2BA6">
        <w:rPr>
          <w:sz w:val="10"/>
        </w:rPr>
        <w:t xml:space="preserve"> von Infektionserregern:</w:t>
      </w:r>
    </w:p>
    <w:p w14:paraId="43E27037" w14:textId="6A154FF7" w:rsidR="00BF0BA3" w:rsidRDefault="00BF0BA3" w:rsidP="00A11386">
      <w:pPr>
        <w:jc w:val="both"/>
        <w:rPr>
          <w:sz w:val="10"/>
        </w:rPr>
      </w:pPr>
      <w:r w:rsidRPr="005A2BA6">
        <w:rPr>
          <w:sz w:val="10"/>
        </w:rPr>
        <w:t>Da bei der Anwendung aus menschlichem Blut hergestellten Arzneimitteln die Übertragung von Infektionskrankheiten nicht völlig auszuschließen ist, werden Maßnahmen getroffen, um das Risiko einer Übertragung von infektiösem Material zu minimieren: Für die Herstellung von "Gefrorenem Frischplasma (Apherese) HRO/Uni" werden ausschließlich Spenden gesunder Spender verwendet, die mit negativem Ergebnis getestet wu</w:t>
      </w:r>
      <w:r w:rsidR="00AB7410">
        <w:rPr>
          <w:sz w:val="10"/>
        </w:rPr>
        <w:t>rden auf</w:t>
      </w:r>
      <w:r w:rsidR="00AB7410" w:rsidRPr="00517BBF">
        <w:rPr>
          <w:sz w:val="10"/>
        </w:rPr>
        <w:t xml:space="preserve"> </w:t>
      </w:r>
      <w:r w:rsidR="00AB7410">
        <w:rPr>
          <w:sz w:val="10"/>
        </w:rPr>
        <w:t xml:space="preserve">die vorgeschriebenen Infektionsparameter </w:t>
      </w:r>
      <w:r w:rsidR="005366D0">
        <w:rPr>
          <w:sz w:val="10"/>
        </w:rPr>
        <w:t>Humanes-Immundefizienz-</w:t>
      </w:r>
      <w:r w:rsidRPr="005A2BA6">
        <w:rPr>
          <w:sz w:val="10"/>
        </w:rPr>
        <w:t>Virus (Anti-HIV-1/</w:t>
      </w:r>
      <w:r w:rsidR="005366D0">
        <w:rPr>
          <w:sz w:val="10"/>
        </w:rPr>
        <w:t>2-Ak, HIV-1-Genom), Hepatitis-B-</w:t>
      </w:r>
      <w:r w:rsidRPr="005A2BA6">
        <w:rPr>
          <w:sz w:val="10"/>
        </w:rPr>
        <w:t>Virus (H</w:t>
      </w:r>
      <w:r w:rsidR="005366D0">
        <w:rPr>
          <w:sz w:val="10"/>
        </w:rPr>
        <w:t>BsAg, Anti-HBc-Ak</w:t>
      </w:r>
      <w:r w:rsidR="002F3338">
        <w:rPr>
          <w:sz w:val="10"/>
        </w:rPr>
        <w:t>, HBV-Genom</w:t>
      </w:r>
      <w:r w:rsidR="005366D0">
        <w:rPr>
          <w:sz w:val="10"/>
        </w:rPr>
        <w:t>), Hepatitis-C-</w:t>
      </w:r>
      <w:r w:rsidRPr="005A2BA6">
        <w:rPr>
          <w:sz w:val="10"/>
        </w:rPr>
        <w:t>Virus (Anti-HCV-Ak, HCV-Genom)</w:t>
      </w:r>
      <w:r w:rsidR="005366D0">
        <w:rPr>
          <w:sz w:val="10"/>
        </w:rPr>
        <w:t xml:space="preserve">, </w:t>
      </w:r>
      <w:r w:rsidR="005366D0">
        <w:rPr>
          <w:sz w:val="10"/>
          <w:szCs w:val="10"/>
        </w:rPr>
        <w:t>West-Nil-Virus (WNV-Genom, Testung 01.06.-31.12</w:t>
      </w:r>
      <w:r w:rsidR="00617E7A">
        <w:rPr>
          <w:sz w:val="10"/>
          <w:szCs w:val="10"/>
        </w:rPr>
        <w:t>.</w:t>
      </w:r>
      <w:r w:rsidR="005366D0">
        <w:rPr>
          <w:sz w:val="10"/>
          <w:szCs w:val="10"/>
        </w:rPr>
        <w:t>)</w:t>
      </w:r>
      <w:r w:rsidR="005366D0" w:rsidRPr="001E294B">
        <w:rPr>
          <w:sz w:val="10"/>
          <w:szCs w:val="10"/>
        </w:rPr>
        <w:t xml:space="preserve"> </w:t>
      </w:r>
      <w:r w:rsidRPr="005A2BA6">
        <w:rPr>
          <w:sz w:val="10"/>
        </w:rPr>
        <w:t xml:space="preserve"> und Tre</w:t>
      </w:r>
      <w:r w:rsidR="005366D0">
        <w:rPr>
          <w:sz w:val="10"/>
        </w:rPr>
        <w:t>ponema pallidum (Anti-Treponema-</w:t>
      </w:r>
      <w:r w:rsidRPr="005A2BA6">
        <w:rPr>
          <w:sz w:val="10"/>
        </w:rPr>
        <w:t>pallidum-Ak). Das "Gefrorene Frischplasma (Apherese) HRO/Uni" aus Spenden mit wiederholt reaktivem Ergebnis auf Anti-HBc-Antikörper ist negativ getestet auf HBV-Genom und enthält zusätzlich mindestens 100 U/l an sc</w:t>
      </w:r>
      <w:r w:rsidR="002F3338">
        <w:rPr>
          <w:sz w:val="10"/>
        </w:rPr>
        <w:t>hützenden Anti-HBs-Antikörpern.</w:t>
      </w:r>
    </w:p>
    <w:p w14:paraId="43E27038" w14:textId="77777777" w:rsidR="0050405A" w:rsidRPr="005A2BA6" w:rsidRDefault="0050405A" w:rsidP="00A11386">
      <w:pPr>
        <w:jc w:val="both"/>
        <w:rPr>
          <w:sz w:val="10"/>
        </w:rPr>
      </w:pPr>
    </w:p>
    <w:p w14:paraId="43E27039" w14:textId="3F901D29" w:rsidR="00BF0BA3" w:rsidRPr="005A2BA6" w:rsidRDefault="00BF0BA3" w:rsidP="00A11386">
      <w:pPr>
        <w:jc w:val="both"/>
        <w:rPr>
          <w:sz w:val="10"/>
        </w:rPr>
      </w:pPr>
      <w:r w:rsidRPr="005A2BA6">
        <w:rPr>
          <w:sz w:val="10"/>
          <w:u w:val="single"/>
        </w:rPr>
        <w:t>Qualitätssicherung</w:t>
      </w:r>
      <w:r w:rsidRPr="005A2BA6">
        <w:rPr>
          <w:sz w:val="10"/>
        </w:rPr>
        <w:t>: Für die Transfusion von GFP sind von den Einrichtungen der Krankenversorgung Maßnahmen im Rahmen der Qualitätssicherung nach § 15 des Transfusionsgesetzes zu ergreifen. Dazu gehören u.</w:t>
      </w:r>
      <w:r w:rsidR="00617E7A">
        <w:rPr>
          <w:sz w:val="10"/>
        </w:rPr>
        <w:t xml:space="preserve"> </w:t>
      </w:r>
      <w:bookmarkStart w:id="0" w:name="_GoBack"/>
      <w:bookmarkEnd w:id="0"/>
      <w:r w:rsidRPr="005A2BA6">
        <w:rPr>
          <w:sz w:val="10"/>
        </w:rPr>
        <w:t>a. detaillierte Anweisungen sowohl für die Indikationsstellung und Dosierung abhängig von der Grunderkrankung und dem klinischen Erscheinungsbild (z.B. bei Verlust- und/oder Verdünnungskoagulopathie, Substitution bei Faktor V- und Faktor XI-Mangel, thrombotisch-thrombozytopenischer Purpura, Austauschtransfusionen), Vorsorgemaß</w:t>
      </w:r>
      <w:r w:rsidR="00A74FE1">
        <w:rPr>
          <w:sz w:val="10"/>
        </w:rPr>
        <w:softHyphen/>
      </w:r>
      <w:r w:rsidRPr="005A2BA6">
        <w:rPr>
          <w:sz w:val="10"/>
        </w:rPr>
        <w:t>nahmen zur Erhaltung der Unversehrtheit der Blutzubereitung vor der Transfusion und Anweisungen zur Nachuntersuchung der Patienten für die Feststellung des Transfusionserfolges, eventuell gebildeter Antikörper und Hemmkörper gegen Gerinnungsfaktoren, für zu ergreifende Prophylaxemaßnahmen etc.</w:t>
      </w:r>
    </w:p>
    <w:p w14:paraId="43E2703A" w14:textId="77777777" w:rsidR="00BF0BA3" w:rsidRPr="005A2BA6" w:rsidRDefault="00BF0BA3" w:rsidP="00A11386">
      <w:pPr>
        <w:jc w:val="both"/>
        <w:rPr>
          <w:sz w:val="10"/>
        </w:rPr>
      </w:pPr>
    </w:p>
    <w:p w14:paraId="43E2703B" w14:textId="77777777" w:rsidR="00BF0BA3" w:rsidRPr="005A2BA6" w:rsidRDefault="00BF0BA3" w:rsidP="00A11386">
      <w:pPr>
        <w:jc w:val="both"/>
        <w:rPr>
          <w:sz w:val="10"/>
          <w:u w:val="single"/>
        </w:rPr>
      </w:pPr>
      <w:r w:rsidRPr="005A2BA6">
        <w:rPr>
          <w:sz w:val="10"/>
          <w:u w:val="single"/>
        </w:rPr>
        <w:t>Besondere Vorsichtsmaßnahmen für die Beseitigung:</w:t>
      </w:r>
    </w:p>
    <w:p w14:paraId="43E2703C" w14:textId="77777777" w:rsidR="00BF0BA3" w:rsidRPr="005A2BA6" w:rsidRDefault="00BF0BA3" w:rsidP="00A11386">
      <w:pPr>
        <w:jc w:val="both"/>
        <w:rPr>
          <w:sz w:val="10"/>
        </w:rPr>
      </w:pPr>
      <w:r w:rsidRPr="005A2BA6">
        <w:rPr>
          <w:sz w:val="10"/>
        </w:rPr>
        <w:t>Die ordnungsgemäße Entsorgung von angebrochenen bzw. nicht mehr verwendbaren Präparaten ist entsprechend der jeweils gültigen transfusionsmedizinischen Dienstanweisung für d</w:t>
      </w:r>
      <w:r w:rsidR="000B2BB2">
        <w:rPr>
          <w:sz w:val="10"/>
        </w:rPr>
        <w:t>ie</w:t>
      </w:r>
      <w:r w:rsidRPr="005A2BA6">
        <w:rPr>
          <w:sz w:val="10"/>
        </w:rPr>
        <w:t xml:space="preserve"> Universitäts</w:t>
      </w:r>
      <w:r w:rsidR="000B2BB2">
        <w:rPr>
          <w:sz w:val="10"/>
        </w:rPr>
        <w:t>medizin</w:t>
      </w:r>
      <w:r w:rsidRPr="005A2BA6">
        <w:rPr>
          <w:sz w:val="10"/>
        </w:rPr>
        <w:t xml:space="preserve"> Rostock</w:t>
      </w:r>
      <w:r w:rsidR="000B2BB2">
        <w:rPr>
          <w:sz w:val="10"/>
        </w:rPr>
        <w:t xml:space="preserve"> </w:t>
      </w:r>
      <w:r w:rsidRPr="005A2BA6">
        <w:rPr>
          <w:sz w:val="10"/>
        </w:rPr>
        <w:t xml:space="preserve">sicherzustellen. </w:t>
      </w:r>
    </w:p>
    <w:p w14:paraId="43E2703D" w14:textId="77777777" w:rsidR="00BF0BA3" w:rsidRPr="005A2BA6" w:rsidRDefault="00BF0BA3" w:rsidP="00A11386">
      <w:pPr>
        <w:jc w:val="both"/>
        <w:rPr>
          <w:sz w:val="10"/>
        </w:rPr>
      </w:pPr>
    </w:p>
    <w:p w14:paraId="43E2703E" w14:textId="77777777" w:rsidR="00BF0BA3" w:rsidRPr="005A2BA6" w:rsidRDefault="00BF0BA3" w:rsidP="00A11386">
      <w:pPr>
        <w:jc w:val="both"/>
        <w:rPr>
          <w:sz w:val="10"/>
        </w:rPr>
      </w:pPr>
      <w:r w:rsidRPr="005A2BA6">
        <w:rPr>
          <w:sz w:val="10"/>
        </w:rPr>
        <w:t>Die jeweils aktuellen "Richtlinien zur Gewinnung von Blut und Blutbestandteilen und zur Anwendung von Blutprodukten (Hämotherapie)" sowie gegebenenfalls ergänzende Veröffent</w:t>
      </w:r>
      <w:r w:rsidR="00A74FE1">
        <w:rPr>
          <w:sz w:val="10"/>
        </w:rPr>
        <w:softHyphen/>
      </w:r>
      <w:r w:rsidRPr="005A2BA6">
        <w:rPr>
          <w:sz w:val="10"/>
        </w:rPr>
        <w:t>lichungen der Bundesärztekammer und des Paul-Ehrlich-Instituts sind zu berücksichtigen.</w:t>
      </w:r>
    </w:p>
    <w:p w14:paraId="3216BEFF" w14:textId="77777777" w:rsidR="002E5982" w:rsidRDefault="002E5982">
      <w:pPr>
        <w:rPr>
          <w:sz w:val="10"/>
        </w:rPr>
      </w:pPr>
    </w:p>
    <w:p w14:paraId="43E27040" w14:textId="63EDBA73" w:rsidR="00BF0BA3" w:rsidRPr="005A2BA6" w:rsidRDefault="00BF0BA3">
      <w:pPr>
        <w:rPr>
          <w:b/>
          <w:sz w:val="10"/>
        </w:rPr>
      </w:pPr>
      <w:r w:rsidRPr="005A2BA6">
        <w:rPr>
          <w:b/>
          <w:sz w:val="10"/>
        </w:rPr>
        <w:t>9. Datum der letzten Überarbeitung</w:t>
      </w:r>
    </w:p>
    <w:p w14:paraId="43E27041" w14:textId="33A6F1BF" w:rsidR="00BF0BA3" w:rsidRPr="005A2BA6" w:rsidRDefault="00617E7A">
      <w:pPr>
        <w:rPr>
          <w:sz w:val="10"/>
        </w:rPr>
      </w:pPr>
      <w:r>
        <w:rPr>
          <w:sz w:val="10"/>
        </w:rPr>
        <w:t>29.10.2024</w:t>
      </w:r>
    </w:p>
    <w:p w14:paraId="43E27043" w14:textId="548BE217" w:rsidR="005A2BA6" w:rsidRPr="005A2BA6" w:rsidRDefault="005A2BA6">
      <w:pPr>
        <w:rPr>
          <w:b/>
          <w:sz w:val="10"/>
        </w:rPr>
      </w:pPr>
    </w:p>
    <w:sectPr w:rsidR="005A2BA6" w:rsidRPr="005A2BA6" w:rsidSect="002E5982">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021" w:right="340" w:bottom="624" w:left="510" w:header="284" w:footer="113" w:gutter="0"/>
      <w:cols w:num="2" w:space="33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7046" w14:textId="77777777" w:rsidR="00BC158A" w:rsidRDefault="00BC158A" w:rsidP="008E3FA4">
      <w:r>
        <w:separator/>
      </w:r>
    </w:p>
  </w:endnote>
  <w:endnote w:type="continuationSeparator" w:id="0">
    <w:p w14:paraId="43E27047" w14:textId="77777777" w:rsidR="00BC158A" w:rsidRDefault="00BC158A" w:rsidP="008E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04F" w14:textId="77777777" w:rsidR="008E3FA4" w:rsidRDefault="008E3F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050" w14:textId="77777777" w:rsidR="008E3FA4" w:rsidRPr="008E3FA4" w:rsidRDefault="008E3FA4" w:rsidP="008E3FA4">
    <w:pPr>
      <w:tabs>
        <w:tab w:val="center" w:pos="4536"/>
        <w:tab w:val="right" w:pos="9072"/>
      </w:tabs>
      <w:rPr>
        <w:rFonts w:ascii="Arial" w:hAnsi="Arial"/>
        <w:sz w:val="12"/>
        <w:szCs w:val="12"/>
      </w:rPr>
    </w:pPr>
    <w:r w:rsidRPr="008E3FA4">
      <w:rPr>
        <w:rFonts w:ascii="Arial" w:hAnsi="Arial"/>
        <w:sz w:val="12"/>
        <w:szCs w:val="12"/>
      </w:rPr>
      <w:t>Quelle: Universitätsmedizin Rostock &gt; Institute &gt; Klinisch- theoretische Institute &gt; Transfusionsmedizin &gt; Ausgabe / Vertrieb &gt; Informationen</w:t>
    </w:r>
  </w:p>
  <w:p w14:paraId="43E27051" w14:textId="77777777" w:rsidR="008E3FA4" w:rsidRPr="008E3FA4" w:rsidRDefault="008E3FA4" w:rsidP="008E3FA4">
    <w:pPr>
      <w:tabs>
        <w:tab w:val="center" w:pos="4536"/>
        <w:tab w:val="right" w:pos="9072"/>
      </w:tabs>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05A" w14:textId="77777777" w:rsidR="008E3FA4" w:rsidRPr="008E3FA4" w:rsidRDefault="008E3FA4" w:rsidP="008E3FA4">
    <w:pPr>
      <w:tabs>
        <w:tab w:val="center" w:pos="4536"/>
        <w:tab w:val="right" w:pos="9072"/>
      </w:tabs>
      <w:rPr>
        <w:rFonts w:ascii="Arial" w:hAnsi="Arial"/>
        <w:szCs w:val="24"/>
      </w:rPr>
    </w:pPr>
  </w:p>
  <w:p w14:paraId="43E2705B" w14:textId="77777777" w:rsidR="008E3FA4" w:rsidRPr="008E3FA4" w:rsidRDefault="008E3FA4" w:rsidP="008E3FA4">
    <w:pPr>
      <w:tabs>
        <w:tab w:val="center" w:pos="4536"/>
        <w:tab w:val="right" w:pos="9072"/>
      </w:tabs>
      <w:rPr>
        <w:rFonts w:ascii="Arial" w:hAnsi="Arial"/>
        <w:sz w:val="12"/>
        <w:szCs w:val="12"/>
      </w:rPr>
    </w:pPr>
    <w:r w:rsidRPr="008E3FA4">
      <w:rPr>
        <w:rFonts w:ascii="Arial" w:hAnsi="Arial"/>
        <w:sz w:val="12"/>
        <w:szCs w:val="12"/>
      </w:rPr>
      <w:t>Quelle: Universitätsmedizin Rostock &gt; Institute &gt; Klinisch- theoretische Institute &gt; Transfusionsmedizin &gt; Ausgabe / Vertrieb &gt; Informationen</w:t>
    </w:r>
  </w:p>
  <w:p w14:paraId="43E2705C" w14:textId="77777777" w:rsidR="008E3FA4" w:rsidRPr="008E3FA4" w:rsidRDefault="008E3FA4" w:rsidP="008E3FA4">
    <w:pPr>
      <w:tabs>
        <w:tab w:val="center" w:pos="4536"/>
        <w:tab w:val="right" w:pos="9072"/>
      </w:tabs>
      <w:rPr>
        <w:rFonts w:ascii="Arial" w:hAnsi="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7044" w14:textId="77777777" w:rsidR="00BC158A" w:rsidRDefault="00BC158A" w:rsidP="008E3FA4">
      <w:r>
        <w:separator/>
      </w:r>
    </w:p>
  </w:footnote>
  <w:footnote w:type="continuationSeparator" w:id="0">
    <w:p w14:paraId="43E27045" w14:textId="77777777" w:rsidR="00BC158A" w:rsidRDefault="00BC158A" w:rsidP="008E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048" w14:textId="77777777" w:rsidR="008E3FA4" w:rsidRDefault="008E3F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049" w14:textId="77777777" w:rsidR="008E3FA4" w:rsidRPr="008E3FA4" w:rsidRDefault="008E3FA4" w:rsidP="008E3FA4">
    <w:pPr>
      <w:tabs>
        <w:tab w:val="center" w:pos="4536"/>
        <w:tab w:val="right" w:pos="9072"/>
      </w:tabs>
      <w:jc w:val="center"/>
      <w:rPr>
        <w:rFonts w:ascii="Arial" w:hAnsi="Arial"/>
        <w:szCs w:val="24"/>
      </w:rPr>
    </w:pPr>
  </w:p>
  <w:tbl>
    <w:tblPr>
      <w:tblW w:w="15026" w:type="dxa"/>
      <w:tblLook w:val="04A0" w:firstRow="1" w:lastRow="0" w:firstColumn="1" w:lastColumn="0" w:noHBand="0" w:noVBand="1"/>
    </w:tblPr>
    <w:tblGrid>
      <w:gridCol w:w="7345"/>
      <w:gridCol w:w="7681"/>
    </w:tblGrid>
    <w:tr w:rsidR="008E3FA4" w:rsidRPr="008E3FA4" w14:paraId="43E2704C" w14:textId="77777777" w:rsidTr="00BC158A">
      <w:tc>
        <w:tcPr>
          <w:tcW w:w="7345" w:type="dxa"/>
          <w:tcBorders>
            <w:top w:val="single" w:sz="2" w:space="0" w:color="000000"/>
          </w:tcBorders>
          <w:shd w:val="clear" w:color="auto" w:fill="auto"/>
          <w:tcMar>
            <w:top w:w="45" w:type="dxa"/>
            <w:left w:w="0" w:type="dxa"/>
            <w:bottom w:w="45" w:type="dxa"/>
            <w:right w:w="0" w:type="dxa"/>
          </w:tcMar>
          <w:vAlign w:val="center"/>
        </w:tcPr>
        <w:p w14:paraId="43E2704A" w14:textId="77777777" w:rsidR="008E3FA4" w:rsidRPr="008E3FA4" w:rsidRDefault="008E3FA4" w:rsidP="00BC158A">
          <w:pPr>
            <w:tabs>
              <w:tab w:val="center" w:pos="4536"/>
              <w:tab w:val="right" w:pos="9072"/>
            </w:tabs>
            <w:rPr>
              <w:rFonts w:ascii="Arial" w:hAnsi="Arial" w:cs="Arial"/>
              <w:sz w:val="12"/>
              <w:szCs w:val="12"/>
            </w:rPr>
          </w:pPr>
          <w:r w:rsidRPr="008E3FA4">
            <w:rPr>
              <w:rFonts w:ascii="Arial" w:hAnsi="Arial" w:cs="Arial"/>
              <w:sz w:val="12"/>
              <w:szCs w:val="12"/>
            </w:rPr>
            <w:t>Gebrauchs- und Fachinformation GFP Apherese HRO Uni</w:t>
          </w:r>
        </w:p>
      </w:tc>
      <w:tc>
        <w:tcPr>
          <w:tcW w:w="7681" w:type="dxa"/>
          <w:tcBorders>
            <w:top w:val="single" w:sz="2" w:space="0" w:color="000000"/>
          </w:tcBorders>
          <w:shd w:val="clear" w:color="auto" w:fill="auto"/>
          <w:tcMar>
            <w:top w:w="45" w:type="dxa"/>
            <w:left w:w="0" w:type="dxa"/>
            <w:bottom w:w="45" w:type="dxa"/>
            <w:right w:w="17" w:type="dxa"/>
          </w:tcMar>
          <w:vAlign w:val="center"/>
        </w:tcPr>
        <w:p w14:paraId="43E2704B" w14:textId="3CAD1001" w:rsidR="008E3FA4" w:rsidRPr="008E3FA4" w:rsidRDefault="008E3FA4" w:rsidP="00BC158A">
          <w:pPr>
            <w:tabs>
              <w:tab w:val="center" w:pos="4536"/>
              <w:tab w:val="right" w:pos="9072"/>
            </w:tabs>
            <w:jc w:val="right"/>
            <w:rPr>
              <w:rFonts w:ascii="Arial" w:hAnsi="Arial" w:cs="Arial"/>
              <w:sz w:val="12"/>
              <w:szCs w:val="12"/>
            </w:rPr>
          </w:pPr>
          <w:r w:rsidRPr="008E3FA4">
            <w:rPr>
              <w:rFonts w:ascii="Arial" w:hAnsi="Arial" w:cs="Arial"/>
              <w:sz w:val="12"/>
              <w:szCs w:val="12"/>
            </w:rPr>
            <w:t xml:space="preserve">Dok.-Nr. 57650. – Version 0 – S. </w:t>
          </w:r>
          <w:r w:rsidRPr="008E3FA4">
            <w:rPr>
              <w:rFonts w:ascii="Arial" w:hAnsi="Arial" w:cs="Arial"/>
              <w:bCs/>
              <w:sz w:val="12"/>
              <w:szCs w:val="12"/>
            </w:rPr>
            <w:fldChar w:fldCharType="begin"/>
          </w:r>
          <w:r w:rsidRPr="008E3FA4">
            <w:rPr>
              <w:rFonts w:ascii="Arial" w:hAnsi="Arial" w:cs="Arial"/>
              <w:bCs/>
              <w:sz w:val="12"/>
              <w:szCs w:val="12"/>
            </w:rPr>
            <w:instrText>PAGE  \* Arabic  \* MERGEFORMAT</w:instrText>
          </w:r>
          <w:r w:rsidRPr="008E3FA4">
            <w:rPr>
              <w:rFonts w:ascii="Arial" w:hAnsi="Arial" w:cs="Arial"/>
              <w:bCs/>
              <w:sz w:val="12"/>
              <w:szCs w:val="12"/>
            </w:rPr>
            <w:fldChar w:fldCharType="separate"/>
          </w:r>
          <w:r w:rsidR="002E5982">
            <w:rPr>
              <w:rFonts w:ascii="Arial" w:hAnsi="Arial" w:cs="Arial"/>
              <w:bCs/>
              <w:noProof/>
              <w:sz w:val="12"/>
              <w:szCs w:val="12"/>
            </w:rPr>
            <w:t>2</w:t>
          </w:r>
          <w:r w:rsidRPr="008E3FA4">
            <w:rPr>
              <w:rFonts w:ascii="Arial" w:hAnsi="Arial" w:cs="Arial"/>
              <w:sz w:val="12"/>
              <w:szCs w:val="12"/>
            </w:rPr>
            <w:fldChar w:fldCharType="end"/>
          </w:r>
          <w:r w:rsidRPr="008E3FA4">
            <w:rPr>
              <w:rFonts w:ascii="Arial" w:hAnsi="Arial" w:cs="Arial"/>
              <w:sz w:val="12"/>
              <w:szCs w:val="12"/>
            </w:rPr>
            <w:t xml:space="preserve"> / </w:t>
          </w:r>
          <w:r w:rsidRPr="008E3FA4">
            <w:rPr>
              <w:rFonts w:ascii="Arial" w:hAnsi="Arial" w:cs="Arial"/>
              <w:bCs/>
              <w:sz w:val="12"/>
              <w:szCs w:val="12"/>
            </w:rPr>
            <w:fldChar w:fldCharType="begin"/>
          </w:r>
          <w:r w:rsidRPr="008E3FA4">
            <w:rPr>
              <w:rFonts w:ascii="Arial" w:hAnsi="Arial" w:cs="Arial"/>
              <w:bCs/>
              <w:sz w:val="12"/>
              <w:szCs w:val="12"/>
            </w:rPr>
            <w:instrText>NUMPAGES  \* Arabic  \* MERGEFORMAT</w:instrText>
          </w:r>
          <w:r w:rsidRPr="008E3FA4">
            <w:rPr>
              <w:rFonts w:ascii="Arial" w:hAnsi="Arial" w:cs="Arial"/>
              <w:bCs/>
              <w:sz w:val="12"/>
              <w:szCs w:val="12"/>
            </w:rPr>
            <w:fldChar w:fldCharType="separate"/>
          </w:r>
          <w:r w:rsidR="002E5982">
            <w:rPr>
              <w:rFonts w:ascii="Arial" w:hAnsi="Arial" w:cs="Arial"/>
              <w:bCs/>
              <w:noProof/>
              <w:sz w:val="12"/>
              <w:szCs w:val="12"/>
            </w:rPr>
            <w:t>2</w:t>
          </w:r>
          <w:r w:rsidRPr="008E3FA4">
            <w:rPr>
              <w:rFonts w:ascii="Arial" w:hAnsi="Arial" w:cs="Arial"/>
              <w:sz w:val="12"/>
              <w:szCs w:val="12"/>
            </w:rPr>
            <w:fldChar w:fldCharType="end"/>
          </w:r>
        </w:p>
      </w:tc>
    </w:tr>
  </w:tbl>
  <w:p w14:paraId="43E2704D" w14:textId="77777777" w:rsidR="008E3FA4" w:rsidRPr="008E3FA4" w:rsidRDefault="008E3FA4" w:rsidP="008E3FA4">
    <w:pPr>
      <w:tabs>
        <w:tab w:val="center" w:pos="4536"/>
        <w:tab w:val="right" w:pos="9072"/>
      </w:tabs>
      <w:rPr>
        <w:rFonts w:ascii="Arial" w:hAnsi="Arial"/>
        <w:szCs w:val="24"/>
      </w:rPr>
    </w:pPr>
  </w:p>
  <w:p w14:paraId="43E2704E" w14:textId="77777777" w:rsidR="008E3FA4" w:rsidRPr="008E3FA4" w:rsidRDefault="008E3FA4" w:rsidP="008E3FA4">
    <w:pPr>
      <w:tabs>
        <w:tab w:val="center" w:pos="4536"/>
        <w:tab w:val="right" w:pos="9072"/>
      </w:tabs>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28" w:type="dxa"/>
      <w:jc w:val="center"/>
      <w:tblLook w:val="04A0" w:firstRow="1" w:lastRow="0" w:firstColumn="1" w:lastColumn="0" w:noHBand="0" w:noVBand="1"/>
    </w:tblPr>
    <w:tblGrid>
      <w:gridCol w:w="2258"/>
      <w:gridCol w:w="9090"/>
      <w:gridCol w:w="2980"/>
    </w:tblGrid>
    <w:tr w:rsidR="008E3FA4" w:rsidRPr="008E3FA4" w14:paraId="43E27055" w14:textId="77777777" w:rsidTr="00BC158A">
      <w:trPr>
        <w:jc w:val="center"/>
      </w:trPr>
      <w:tc>
        <w:tcPr>
          <w:tcW w:w="2258" w:type="dxa"/>
          <w:tcBorders>
            <w:bottom w:val="single" w:sz="2" w:space="0" w:color="000000"/>
          </w:tcBorders>
          <w:shd w:val="clear" w:color="auto" w:fill="auto"/>
          <w:tcMar>
            <w:left w:w="0" w:type="dxa"/>
            <w:bottom w:w="28" w:type="dxa"/>
            <w:right w:w="0" w:type="dxa"/>
          </w:tcMar>
        </w:tcPr>
        <w:p w14:paraId="43E27052" w14:textId="43551F6D" w:rsidR="008E3FA4" w:rsidRPr="008E3FA4" w:rsidRDefault="002E5982" w:rsidP="00BC158A">
          <w:pPr>
            <w:tabs>
              <w:tab w:val="center" w:pos="4536"/>
            </w:tabs>
            <w:rPr>
              <w:rFonts w:ascii="Arial" w:hAnsi="Arial"/>
              <w:sz w:val="16"/>
              <w:szCs w:val="16"/>
            </w:rPr>
          </w:pPr>
          <w:r>
            <w:rPr>
              <w:rFonts w:ascii="Arial" w:hAnsi="Arial"/>
              <w:noProof/>
              <w:szCs w:val="24"/>
            </w:rPr>
            <w:drawing>
              <wp:inline distT="0" distB="0" distL="0" distR="0" wp14:anchorId="43E2705D" wp14:editId="6221BCCE">
                <wp:extent cx="1424940" cy="338455"/>
                <wp:effectExtent l="0" t="0" r="0" b="0"/>
                <wp:docPr id="1" name="Bild 103" descr="bb_logo_uni_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3" descr="bb_logo_uni_ro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338455"/>
                        </a:xfrm>
                        <a:prstGeom prst="rect">
                          <a:avLst/>
                        </a:prstGeom>
                        <a:noFill/>
                        <a:ln>
                          <a:noFill/>
                        </a:ln>
                      </pic:spPr>
                    </pic:pic>
                  </a:graphicData>
                </a:graphic>
              </wp:inline>
            </w:drawing>
          </w:r>
        </w:p>
      </w:tc>
      <w:tc>
        <w:tcPr>
          <w:tcW w:w="9090" w:type="dxa"/>
          <w:tcBorders>
            <w:bottom w:val="single" w:sz="2" w:space="0" w:color="000000"/>
          </w:tcBorders>
          <w:shd w:val="clear" w:color="auto" w:fill="auto"/>
          <w:tcMar>
            <w:left w:w="0" w:type="dxa"/>
            <w:bottom w:w="28" w:type="dxa"/>
            <w:right w:w="0" w:type="dxa"/>
          </w:tcMar>
          <w:vAlign w:val="center"/>
        </w:tcPr>
        <w:p w14:paraId="43E27053" w14:textId="77777777" w:rsidR="008E3FA4" w:rsidRPr="008E3FA4" w:rsidRDefault="008E3FA4" w:rsidP="00BC158A">
          <w:pPr>
            <w:tabs>
              <w:tab w:val="center" w:pos="4536"/>
              <w:tab w:val="right" w:pos="9072"/>
            </w:tabs>
            <w:jc w:val="center"/>
            <w:rPr>
              <w:rFonts w:ascii="Arial" w:hAnsi="Arial" w:cs="Arial"/>
              <w:sz w:val="16"/>
              <w:szCs w:val="16"/>
            </w:rPr>
          </w:pPr>
          <w:r w:rsidRPr="008E3FA4">
            <w:rPr>
              <w:rFonts w:ascii="Arial" w:hAnsi="Arial" w:cs="Arial"/>
              <w:sz w:val="16"/>
              <w:szCs w:val="16"/>
            </w:rPr>
            <w:t>Transfusionsmedizin | Ausgabe / Vertrieb</w:t>
          </w:r>
        </w:p>
      </w:tc>
      <w:tc>
        <w:tcPr>
          <w:tcW w:w="2980" w:type="dxa"/>
          <w:tcBorders>
            <w:bottom w:val="single" w:sz="2" w:space="0" w:color="000000"/>
          </w:tcBorders>
          <w:shd w:val="clear" w:color="auto" w:fill="auto"/>
          <w:tcMar>
            <w:left w:w="0" w:type="dxa"/>
            <w:bottom w:w="28" w:type="dxa"/>
            <w:right w:w="17" w:type="dxa"/>
          </w:tcMar>
        </w:tcPr>
        <w:p w14:paraId="43E27054" w14:textId="379E003B" w:rsidR="008E3FA4" w:rsidRPr="008E3FA4" w:rsidRDefault="002E5982" w:rsidP="00BC158A">
          <w:pPr>
            <w:tabs>
              <w:tab w:val="center" w:pos="4536"/>
              <w:tab w:val="right" w:pos="9072"/>
            </w:tabs>
            <w:jc w:val="right"/>
            <w:rPr>
              <w:rFonts w:ascii="Arial" w:hAnsi="Arial"/>
              <w:sz w:val="16"/>
              <w:szCs w:val="16"/>
            </w:rPr>
          </w:pPr>
          <w:r>
            <w:rPr>
              <w:rFonts w:ascii="Arial" w:hAnsi="Arial"/>
              <w:noProof/>
              <w:szCs w:val="24"/>
            </w:rPr>
            <w:drawing>
              <wp:inline distT="0" distB="0" distL="0" distR="0" wp14:anchorId="43E2705E" wp14:editId="696DE2AD">
                <wp:extent cx="1591310" cy="451485"/>
                <wp:effectExtent l="0" t="0" r="0" b="0"/>
                <wp:docPr id="2" name="Bild 102" descr="bb_logo_un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2" descr="bb_logo_unim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451485"/>
                        </a:xfrm>
                        <a:prstGeom prst="rect">
                          <a:avLst/>
                        </a:prstGeom>
                        <a:noFill/>
                        <a:ln>
                          <a:noFill/>
                        </a:ln>
                      </pic:spPr>
                    </pic:pic>
                  </a:graphicData>
                </a:graphic>
              </wp:inline>
            </w:drawing>
          </w:r>
        </w:p>
      </w:tc>
    </w:tr>
    <w:tr w:rsidR="008E3FA4" w:rsidRPr="008E3FA4" w14:paraId="43E27058" w14:textId="77777777" w:rsidTr="00BC158A">
      <w:trPr>
        <w:jc w:val="center"/>
      </w:trPr>
      <w:tc>
        <w:tcPr>
          <w:tcW w:w="11348" w:type="dxa"/>
          <w:gridSpan w:val="2"/>
          <w:tcBorders>
            <w:top w:val="single" w:sz="2" w:space="0" w:color="000000"/>
          </w:tcBorders>
          <w:shd w:val="clear" w:color="auto" w:fill="auto"/>
          <w:tcMar>
            <w:top w:w="45" w:type="dxa"/>
            <w:left w:w="0" w:type="dxa"/>
            <w:bottom w:w="45" w:type="dxa"/>
            <w:right w:w="0" w:type="dxa"/>
          </w:tcMar>
          <w:vAlign w:val="center"/>
        </w:tcPr>
        <w:p w14:paraId="43E27056" w14:textId="77777777" w:rsidR="008E3FA4" w:rsidRPr="008E3FA4" w:rsidRDefault="008E3FA4" w:rsidP="00BC158A">
          <w:pPr>
            <w:tabs>
              <w:tab w:val="center" w:pos="4536"/>
              <w:tab w:val="right" w:pos="9072"/>
            </w:tabs>
            <w:rPr>
              <w:rFonts w:ascii="Arial" w:hAnsi="Arial" w:cs="Arial"/>
              <w:sz w:val="12"/>
              <w:szCs w:val="12"/>
            </w:rPr>
          </w:pPr>
          <w:r w:rsidRPr="008E3FA4">
            <w:rPr>
              <w:rFonts w:ascii="Arial" w:hAnsi="Arial" w:cs="Arial"/>
              <w:sz w:val="12"/>
              <w:szCs w:val="12"/>
            </w:rPr>
            <w:t>Gebrauchs- und Fachinformation GFP Apherese HRO Uni</w:t>
          </w:r>
        </w:p>
      </w:tc>
      <w:tc>
        <w:tcPr>
          <w:tcW w:w="2980" w:type="dxa"/>
          <w:tcBorders>
            <w:top w:val="single" w:sz="2" w:space="0" w:color="000000"/>
          </w:tcBorders>
          <w:shd w:val="clear" w:color="auto" w:fill="auto"/>
          <w:tcMar>
            <w:top w:w="45" w:type="dxa"/>
            <w:left w:w="0" w:type="dxa"/>
            <w:bottom w:w="45" w:type="dxa"/>
            <w:right w:w="17" w:type="dxa"/>
          </w:tcMar>
          <w:vAlign w:val="center"/>
        </w:tcPr>
        <w:p w14:paraId="43E27057" w14:textId="6C91AFF4" w:rsidR="008E3FA4" w:rsidRPr="008E3FA4" w:rsidRDefault="008E3FA4" w:rsidP="00BC158A">
          <w:pPr>
            <w:tabs>
              <w:tab w:val="center" w:pos="4536"/>
              <w:tab w:val="right" w:pos="9072"/>
            </w:tabs>
            <w:jc w:val="right"/>
            <w:rPr>
              <w:rFonts w:ascii="Arial" w:hAnsi="Arial" w:cs="Arial"/>
              <w:sz w:val="12"/>
              <w:szCs w:val="12"/>
            </w:rPr>
          </w:pPr>
          <w:r w:rsidRPr="008E3FA4">
            <w:rPr>
              <w:rFonts w:ascii="Arial" w:hAnsi="Arial" w:cs="Arial"/>
              <w:sz w:val="12"/>
              <w:szCs w:val="12"/>
            </w:rPr>
            <w:t xml:space="preserve">Dok.-Nr. 57650 – Version 0 – S. </w:t>
          </w:r>
          <w:r w:rsidRPr="008E3FA4">
            <w:rPr>
              <w:rFonts w:ascii="Arial" w:hAnsi="Arial" w:cs="Arial"/>
              <w:bCs/>
              <w:sz w:val="12"/>
              <w:szCs w:val="12"/>
            </w:rPr>
            <w:fldChar w:fldCharType="begin"/>
          </w:r>
          <w:r w:rsidRPr="008E3FA4">
            <w:rPr>
              <w:rFonts w:ascii="Arial" w:hAnsi="Arial" w:cs="Arial"/>
              <w:bCs/>
              <w:sz w:val="12"/>
              <w:szCs w:val="12"/>
            </w:rPr>
            <w:instrText>PAGE  \* Arabic  \* MERGEFORMAT</w:instrText>
          </w:r>
          <w:r w:rsidRPr="008E3FA4">
            <w:rPr>
              <w:rFonts w:ascii="Arial" w:hAnsi="Arial" w:cs="Arial"/>
              <w:bCs/>
              <w:sz w:val="12"/>
              <w:szCs w:val="12"/>
            </w:rPr>
            <w:fldChar w:fldCharType="separate"/>
          </w:r>
          <w:r w:rsidR="00617E7A">
            <w:rPr>
              <w:rFonts w:ascii="Arial" w:hAnsi="Arial" w:cs="Arial"/>
              <w:bCs/>
              <w:noProof/>
              <w:sz w:val="12"/>
              <w:szCs w:val="12"/>
            </w:rPr>
            <w:t>1</w:t>
          </w:r>
          <w:r w:rsidRPr="008E3FA4">
            <w:rPr>
              <w:rFonts w:ascii="Arial" w:hAnsi="Arial" w:cs="Arial"/>
              <w:sz w:val="12"/>
              <w:szCs w:val="12"/>
            </w:rPr>
            <w:fldChar w:fldCharType="end"/>
          </w:r>
          <w:r w:rsidRPr="008E3FA4">
            <w:rPr>
              <w:rFonts w:ascii="Arial" w:hAnsi="Arial" w:cs="Arial"/>
              <w:sz w:val="12"/>
              <w:szCs w:val="12"/>
            </w:rPr>
            <w:t xml:space="preserve"> / </w:t>
          </w:r>
          <w:r w:rsidRPr="008E3FA4">
            <w:rPr>
              <w:rFonts w:ascii="Arial" w:hAnsi="Arial" w:cs="Arial"/>
              <w:bCs/>
              <w:sz w:val="12"/>
              <w:szCs w:val="12"/>
            </w:rPr>
            <w:fldChar w:fldCharType="begin"/>
          </w:r>
          <w:r w:rsidRPr="008E3FA4">
            <w:rPr>
              <w:rFonts w:ascii="Arial" w:hAnsi="Arial" w:cs="Arial"/>
              <w:bCs/>
              <w:sz w:val="12"/>
              <w:szCs w:val="12"/>
            </w:rPr>
            <w:instrText>NUMPAGES  \* Arabic  \* MERGEFORMAT</w:instrText>
          </w:r>
          <w:r w:rsidRPr="008E3FA4">
            <w:rPr>
              <w:rFonts w:ascii="Arial" w:hAnsi="Arial" w:cs="Arial"/>
              <w:bCs/>
              <w:sz w:val="12"/>
              <w:szCs w:val="12"/>
            </w:rPr>
            <w:fldChar w:fldCharType="separate"/>
          </w:r>
          <w:r w:rsidR="00617E7A">
            <w:rPr>
              <w:rFonts w:ascii="Arial" w:hAnsi="Arial" w:cs="Arial"/>
              <w:bCs/>
              <w:noProof/>
              <w:sz w:val="12"/>
              <w:szCs w:val="12"/>
            </w:rPr>
            <w:t>1</w:t>
          </w:r>
          <w:r w:rsidRPr="008E3FA4">
            <w:rPr>
              <w:rFonts w:ascii="Arial" w:hAnsi="Arial" w:cs="Arial"/>
              <w:sz w:val="12"/>
              <w:szCs w:val="12"/>
            </w:rPr>
            <w:fldChar w:fldCharType="end"/>
          </w:r>
        </w:p>
      </w:tc>
    </w:tr>
  </w:tbl>
  <w:p w14:paraId="43E27059" w14:textId="33B1A2C4" w:rsidR="008E3FA4" w:rsidRPr="008E3FA4" w:rsidRDefault="002E5982" w:rsidP="008E3FA4">
    <w:pPr>
      <w:tabs>
        <w:tab w:val="center" w:pos="4536"/>
        <w:tab w:val="right" w:pos="9072"/>
      </w:tabs>
      <w:rPr>
        <w:rFonts w:ascii="Arial" w:hAnsi="Arial"/>
        <w:sz w:val="12"/>
        <w:szCs w:val="12"/>
      </w:rPr>
    </w:pPr>
    <w:r>
      <w:rPr>
        <w:noProof/>
      </w:rPr>
      <mc:AlternateContent>
        <mc:Choice Requires="wps">
          <w:drawing>
            <wp:anchor distT="4294967295" distB="4294967295" distL="114300" distR="114300" simplePos="0" relativeHeight="251657728" behindDoc="0" locked="0" layoutInCell="1" allowOverlap="1" wp14:anchorId="43E2705F" wp14:editId="300B11AB">
              <wp:simplePos x="0" y="0"/>
              <wp:positionH relativeFrom="page">
                <wp:posOffset>107950</wp:posOffset>
              </wp:positionH>
              <wp:positionV relativeFrom="page">
                <wp:posOffset>7560944</wp:posOffset>
              </wp:positionV>
              <wp:extent cx="179705" cy="0"/>
              <wp:effectExtent l="0" t="0" r="10795"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D55C05"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pt,595.35pt" to="22.6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" strokecolor="gray" strokeweight=".3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83519A"/>
    <w:multiLevelType w:val="multilevel"/>
    <w:tmpl w:val="8FAC584C"/>
    <w:lvl w:ilvl="0">
      <w:start w:val="1"/>
      <w:numFmt w:val="bullet"/>
      <w:lvlText w:val="-"/>
      <w:lvlJc w:val="left"/>
      <w:pPr>
        <w:tabs>
          <w:tab w:val="num" w:pos="360"/>
        </w:tabs>
        <w:ind w:left="360" w:hanging="360"/>
      </w:pPr>
      <w:rPr>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775E4C"/>
    <w:multiLevelType w:val="hybridMultilevel"/>
    <w:tmpl w:val="3822FD1A"/>
    <w:lvl w:ilvl="0" w:tplc="A90845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8B6138"/>
    <w:multiLevelType w:val="hybridMultilevel"/>
    <w:tmpl w:val="D136B856"/>
    <w:lvl w:ilvl="0" w:tplc="6BC283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35AC8"/>
    <w:multiLevelType w:val="hybridMultilevel"/>
    <w:tmpl w:val="EB04A018"/>
    <w:lvl w:ilvl="0" w:tplc="6BC283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sz w:val="16"/>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86"/>
    <w:rsid w:val="00010EDF"/>
    <w:rsid w:val="000258ED"/>
    <w:rsid w:val="00036600"/>
    <w:rsid w:val="00092C86"/>
    <w:rsid w:val="000B2BB2"/>
    <w:rsid w:val="000D22EE"/>
    <w:rsid w:val="00135E64"/>
    <w:rsid w:val="001824B9"/>
    <w:rsid w:val="00226CC5"/>
    <w:rsid w:val="00255AE2"/>
    <w:rsid w:val="002E5982"/>
    <w:rsid w:val="002E75EC"/>
    <w:rsid w:val="002F3338"/>
    <w:rsid w:val="003730EC"/>
    <w:rsid w:val="0038185E"/>
    <w:rsid w:val="003A30F7"/>
    <w:rsid w:val="004576EE"/>
    <w:rsid w:val="004C6AE9"/>
    <w:rsid w:val="0050405A"/>
    <w:rsid w:val="005366D0"/>
    <w:rsid w:val="0059060C"/>
    <w:rsid w:val="005A2BA6"/>
    <w:rsid w:val="00617E7A"/>
    <w:rsid w:val="0066163D"/>
    <w:rsid w:val="00695592"/>
    <w:rsid w:val="006A5717"/>
    <w:rsid w:val="006C13E8"/>
    <w:rsid w:val="00770E2A"/>
    <w:rsid w:val="00793B20"/>
    <w:rsid w:val="00796303"/>
    <w:rsid w:val="007A6DAB"/>
    <w:rsid w:val="00866E4B"/>
    <w:rsid w:val="00875A5B"/>
    <w:rsid w:val="008A1D03"/>
    <w:rsid w:val="008E3FA4"/>
    <w:rsid w:val="00942805"/>
    <w:rsid w:val="009B3486"/>
    <w:rsid w:val="00A11386"/>
    <w:rsid w:val="00A1490E"/>
    <w:rsid w:val="00A53068"/>
    <w:rsid w:val="00A74FE1"/>
    <w:rsid w:val="00AB7410"/>
    <w:rsid w:val="00AE69B8"/>
    <w:rsid w:val="00B12846"/>
    <w:rsid w:val="00B77AAB"/>
    <w:rsid w:val="00B87B8D"/>
    <w:rsid w:val="00BC158A"/>
    <w:rsid w:val="00BF0BA3"/>
    <w:rsid w:val="00D934A2"/>
    <w:rsid w:val="00D95543"/>
    <w:rsid w:val="00DD2CC2"/>
    <w:rsid w:val="00DE16B5"/>
    <w:rsid w:val="00E90B22"/>
    <w:rsid w:val="00E92804"/>
    <w:rsid w:val="00EC615D"/>
    <w:rsid w:val="00ED7B95"/>
    <w:rsid w:val="00F77BB0"/>
    <w:rsid w:val="00FD5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E26FA6"/>
  <w15:chartTrackingRefBased/>
  <w15:docId w15:val="{C390E490-CCA5-4E70-A482-76304907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sz w:val="24"/>
    </w:rPr>
  </w:style>
  <w:style w:type="paragraph" w:styleId="Textkrper">
    <w:name w:val="Body Text"/>
    <w:basedOn w:val="Standard"/>
    <w:pPr>
      <w:tabs>
        <w:tab w:val="left" w:pos="567"/>
        <w:tab w:val="left" w:pos="1134"/>
        <w:tab w:val="left" w:pos="2268"/>
        <w:tab w:val="left" w:pos="3402"/>
        <w:tab w:val="left" w:pos="4536"/>
        <w:tab w:val="left" w:pos="5670"/>
        <w:tab w:val="left" w:pos="6804"/>
        <w:tab w:val="left" w:pos="7938"/>
      </w:tabs>
      <w:jc w:val="both"/>
    </w:pPr>
    <w:rPr>
      <w:rFonts w:ascii="Arial" w:hAnsi="Arial"/>
      <w:sz w:val="24"/>
    </w:rPr>
  </w:style>
  <w:style w:type="table" w:styleId="Tabellenraster">
    <w:name w:val="Table Grid"/>
    <w:basedOn w:val="NormaleTabelle"/>
    <w:uiPriority w:val="59"/>
    <w:rsid w:val="0013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1D03"/>
    <w:rPr>
      <w:color w:val="0000FF"/>
      <w:u w:val="single"/>
    </w:rPr>
  </w:style>
  <w:style w:type="paragraph" w:styleId="Kopfzeile">
    <w:name w:val="header"/>
    <w:basedOn w:val="Standard"/>
    <w:link w:val="KopfzeileZchn"/>
    <w:uiPriority w:val="99"/>
    <w:unhideWhenUsed/>
    <w:rsid w:val="008E3FA4"/>
    <w:pPr>
      <w:tabs>
        <w:tab w:val="center" w:pos="4536"/>
        <w:tab w:val="right" w:pos="9072"/>
      </w:tabs>
    </w:pPr>
  </w:style>
  <w:style w:type="character" w:customStyle="1" w:styleId="KopfzeileZchn">
    <w:name w:val="Kopfzeile Zchn"/>
    <w:basedOn w:val="Absatz-Standardschriftart"/>
    <w:link w:val="Kopfzeile"/>
    <w:uiPriority w:val="99"/>
    <w:rsid w:val="008E3FA4"/>
  </w:style>
  <w:style w:type="table" w:customStyle="1" w:styleId="Tabellenraster1">
    <w:name w:val="Tabellenraster1"/>
    <w:basedOn w:val="NormaleTabelle"/>
    <w:next w:val="Tabellenraster"/>
    <w:rsid w:val="008E3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rsid w:val="008E3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uiPriority w:val="99"/>
    <w:semiHidden/>
    <w:unhideWhenUsed/>
    <w:rsid w:val="0037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i.de/haemovigilanz-formul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i.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vigilance@pei.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11297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Gebrauchsinformation und Fachinformation</vt:lpstr>
    </vt:vector>
  </TitlesOfParts>
  <Company>Klinikum der Universität HRO</Company>
  <LinksUpToDate>false</LinksUpToDate>
  <CharactersWithSpaces>13064</CharactersWithSpaces>
  <SharedDoc>false</SharedDoc>
  <HLinks>
    <vt:vector size="18" baseType="variant">
      <vt:variant>
        <vt:i4>2687054</vt:i4>
      </vt:variant>
      <vt:variant>
        <vt:i4>6</vt:i4>
      </vt:variant>
      <vt:variant>
        <vt:i4>0</vt:i4>
      </vt:variant>
      <vt:variant>
        <vt:i4>5</vt:i4>
      </vt:variant>
      <vt:variant>
        <vt:lpwstr>mailto:pharmakovigilanz2@pei.de</vt:lpwstr>
      </vt:variant>
      <vt:variant>
        <vt:lpwstr/>
      </vt:variant>
      <vt:variant>
        <vt:i4>5701639</vt:i4>
      </vt:variant>
      <vt:variant>
        <vt:i4>3</vt:i4>
      </vt:variant>
      <vt:variant>
        <vt:i4>0</vt:i4>
      </vt:variant>
      <vt:variant>
        <vt:i4>5</vt:i4>
      </vt:variant>
      <vt:variant>
        <vt:lpwstr>http://www.pei.de/haemovigilanz-formulare</vt:lpwstr>
      </vt:variant>
      <vt:variant>
        <vt:lpwstr/>
      </vt: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Gebrauchsinformation und Fachinformation</dc:title>
  <dc:subject/>
  <dc:creator>AFTM</dc:creator>
  <cp:keywords/>
  <dc:description/>
  <cp:lastModifiedBy>Sandmann, Anja</cp:lastModifiedBy>
  <cp:revision>7</cp:revision>
  <cp:lastPrinted>2016-11-09T06:38:00Z</cp:lastPrinted>
  <dcterms:created xsi:type="dcterms:W3CDTF">2024-05-31T08:57:00Z</dcterms:created>
  <dcterms:modified xsi:type="dcterms:W3CDTF">2024-10-29T10:06:00Z</dcterms:modified>
</cp:coreProperties>
</file>